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 w:after="0" w:afterAutospacing="0"/>
        <w:ind/>
        <w:jc w:val="center"/>
        <w:rPr>
          <w:rFonts w:ascii="Aldrich" w:hAnsi="Aldrich" w:cs="Aldrich"/>
          <w:b/>
          <w:bCs/>
          <w:color w:val="2e75b5" w:themeColor="accent1" w:themeShade="BF"/>
          <w:sz w:val="44"/>
          <w:szCs w:val="44"/>
          <w:highlight w:val="none"/>
        </w:rPr>
      </w:pPr>
      <w:r>
        <w:rPr>
          <w:rFonts w:ascii="Aldrich" w:hAnsi="Aldrich" w:eastAsia="Aldrich" w:cs="Aldrich"/>
          <w:b/>
          <w:bCs/>
          <w:color w:val="2e75b5" w:themeColor="accent1" w:themeShade="BF"/>
          <w:sz w:val="44"/>
          <w:szCs w:val="44"/>
          <w:highlight w:val="none"/>
        </w:rPr>
      </w:r>
      <w:r>
        <w:rPr>
          <w:rFonts w:ascii="Aldrich" w:hAnsi="Aldrich" w:eastAsia="Aldrich" w:cs="Aldrich"/>
          <w:b/>
          <w:bCs/>
          <w:color w:val="2e75b5" w:themeColor="accent1" w:themeShade="BF"/>
          <w:sz w:val="120"/>
          <w:szCs w:val="120"/>
          <w:highlight w:val="none"/>
        </w:rPr>
        <w:t xml:space="preserve">ShopNow</w:t>
      </w:r>
      <w:r>
        <w:rPr>
          <w:rFonts w:ascii="Aldrich" w:hAnsi="Aldrich" w:eastAsia="Aldrich" w:cs="Aldrich"/>
          <w:b/>
          <w:bCs/>
          <w:color w:val="2e75b5" w:themeColor="accent1" w:themeShade="BF"/>
          <w:sz w:val="120"/>
          <w:szCs w:val="120"/>
          <w:highlight w:val="none"/>
        </w:rPr>
      </w:r>
      <w:r>
        <w:rPr>
          <w:rFonts w:ascii="Aldrich" w:hAnsi="Aldrich" w:cs="Aldrich"/>
          <w:b/>
          <w:bCs/>
          <w:color w:val="2e75b5" w:themeColor="accent1" w:themeShade="BF"/>
          <w:sz w:val="44"/>
          <w:szCs w:val="44"/>
          <w:highlight w:val="none"/>
        </w:rPr>
      </w:r>
    </w:p>
    <w:p>
      <w:pPr>
        <w:pBdr/>
        <w:spacing w:after="0" w:afterAutospacing="0"/>
        <w:ind/>
        <w:jc w:val="center"/>
        <w:rPr>
          <w:sz w:val="40"/>
          <w:szCs w:val="40"/>
          <w:highlight w:val="none"/>
        </w:rPr>
      </w:pPr>
      <w:r>
        <w:rPr>
          <w:sz w:val="40"/>
          <w:szCs w:val="40"/>
          <w:highlight w:val="none"/>
        </w:rPr>
        <w:t xml:space="preserve">Building a better tomorrow for buyers and vendors (especially vendors)</w:t>
      </w:r>
      <w:r>
        <w:rPr>
          <w:sz w:val="40"/>
          <w:szCs w:val="40"/>
        </w:rPr>
      </w:r>
      <w:r>
        <w:rPr>
          <w:sz w:val="40"/>
          <w:szCs w:val="40"/>
          <w:highlight w:val="none"/>
        </w:rPr>
      </w:r>
    </w:p>
    <w:p>
      <w:pPr>
        <w:pBdr/>
        <w:spacing/>
        <w:ind/>
        <w:jc w:val="both"/>
        <w:rPr/>
      </w:pPr>
      <w:r>
        <w:rPr>
          <w:highlight w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6185110" cy="2651866"/>
                <wp:effectExtent l="0" t="0" r="0" b="0"/>
                <wp:docPr id="1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39409628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6185109" cy="26518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487.02pt;height:208.81pt;mso-wrap-distance-left:0.00pt;mso-wrap-distance-top:0.00pt;mso-wrap-distance-right:0.00pt;mso-wrap-distance-bottom:0.00pt;z-index:1;" stroked="false">
                <v:imagedata r:id="rId11" o:title=""/>
                <o:lock v:ext="edit" rotation="t"/>
              </v:shape>
            </w:pict>
          </mc:Fallback>
        </mc:AlternateContent>
      </w:r>
      <w:r>
        <w:rPr>
          <w:highlight w:val="none"/>
        </w:rPr>
      </w:r>
      <w:r/>
    </w:p>
    <w:p>
      <w:pPr>
        <w:pStyle w:val="951"/>
        <w:pBdr/>
        <w:tabs>
          <w:tab w:val="right" w:leader="dot" w:pos="9740"/>
        </w:tabs>
        <w:spacing/>
        <w:ind/>
        <w:rPr/>
      </w:pPr>
      <w:r>
        <w:fldChar w:fldCharType="begin"/>
        <w:instrText xml:space="preserve">TOC \o "1-2" \h </w:instrText>
      </w:r>
      <w:r>
        <w:fldChar w:fldCharType="separate"/>
      </w:r>
      <w:r>
        <w:rPr>
          <w:highlight w:val="none"/>
        </w:rPr>
      </w:r>
      <w:hyperlink w:tooltip="#_Toc1" w:anchor="_Toc1" w:history="1">
        <w:r>
          <w:rPr>
            <w:rStyle w:val="949"/>
          </w:rPr>
        </w:r>
        <w:r>
          <w:rPr>
            <w:rStyle w:val="949"/>
          </w:rPr>
          <w:t xml:space="preserve">Identify criticality, bottlenecks</w:t>
        </w:r>
        <w:r>
          <w:rPr>
            <w:rStyle w:val="949"/>
          </w:rPr>
        </w:r>
        <w:r>
          <w:tab/>
        </w:r>
        <w:r>
          <w:fldChar w:fldCharType="begin"/>
          <w:instrText xml:space="preserve">PAGEREF _Toc1 \h</w:instrText>
          <w:fldChar w:fldCharType="separate"/>
          <w:t xml:space="preserve">2</w:t>
          <w:fldChar w:fldCharType="end"/>
        </w:r>
      </w:hyperlink>
      <w:r/>
    </w:p>
    <w:p>
      <w:pPr>
        <w:pStyle w:val="952"/>
        <w:pBdr/>
        <w:tabs>
          <w:tab w:val="right" w:leader="dot" w:pos="9740"/>
        </w:tabs>
        <w:spacing/>
        <w:ind/>
        <w:rPr/>
      </w:pPr>
      <w:hyperlink w:tooltip="#_Toc2" w:anchor="_Toc2" w:history="1">
        <w:r>
          <w:rPr>
            <w:rStyle w:val="949"/>
          </w:rPr>
        </w:r>
        <w:r>
          <w:rPr>
            <w:rStyle w:val="949"/>
          </w:rPr>
          <w:t xml:space="preserve">Context</w:t>
        </w:r>
        <w:r>
          <w:rPr>
            <w:rStyle w:val="949"/>
          </w:rPr>
          <w:t xml:space="preserve"> of deployment</w:t>
        </w:r>
        <w:r>
          <w:rPr>
            <w:rStyle w:val="949"/>
          </w:rPr>
        </w:r>
        <w:r>
          <w:tab/>
        </w:r>
        <w:r>
          <w:fldChar w:fldCharType="begin"/>
          <w:instrText xml:space="preserve">PAGEREF _Toc2 \h</w:instrText>
          <w:fldChar w:fldCharType="separate"/>
          <w:t xml:space="preserve">2</w:t>
          <w:fldChar w:fldCharType="end"/>
        </w:r>
      </w:hyperlink>
      <w:r/>
    </w:p>
    <w:p>
      <w:pPr>
        <w:pStyle w:val="952"/>
        <w:pBdr/>
        <w:tabs>
          <w:tab w:val="right" w:leader="dot" w:pos="9740"/>
        </w:tabs>
        <w:spacing/>
        <w:ind/>
        <w:rPr/>
      </w:pPr>
      <w:hyperlink w:tooltip="#_Toc3" w:anchor="_Toc3" w:history="1">
        <w:r>
          <w:rPr>
            <w:rStyle w:val="949"/>
          </w:rPr>
        </w:r>
        <w:r>
          <w:rPr>
            <w:rStyle w:val="949"/>
            <w:highlight w:val="none"/>
          </w:rPr>
          <w:t xml:space="preserve">Sensible data handling</w:t>
        </w:r>
        <w:r>
          <w:rPr>
            <w:rStyle w:val="949"/>
          </w:rPr>
        </w:r>
        <w:r>
          <w:tab/>
        </w:r>
        <w:r>
          <w:fldChar w:fldCharType="begin"/>
          <w:instrText xml:space="preserve">PAGEREF _Toc3 \h</w:instrText>
          <w:fldChar w:fldCharType="separate"/>
          <w:t xml:space="preserve">2</w:t>
          <w:fldChar w:fldCharType="end"/>
        </w:r>
      </w:hyperlink>
      <w:r/>
    </w:p>
    <w:p>
      <w:pPr>
        <w:pStyle w:val="952"/>
        <w:pBdr/>
        <w:tabs>
          <w:tab w:val="right" w:leader="dot" w:pos="9740"/>
        </w:tabs>
        <w:spacing/>
        <w:ind/>
        <w:rPr>
          <w:highlight w:val="none"/>
        </w:rPr>
      </w:pPr>
      <w:hyperlink w:tooltip="#_Toc4" w:anchor="_Toc4" w:history="1">
        <w:r>
          <w:rPr>
            <w:rStyle w:val="949"/>
          </w:rPr>
        </w:r>
        <w:r>
          <w:rPr>
            <w:rStyle w:val="949"/>
          </w:rPr>
          <w:t xml:space="preserve">Identifying</w:t>
        </w:r>
        <w:r>
          <w:rPr>
            <w:rStyle w:val="949"/>
          </w:rPr>
          <w:t xml:space="preserve"> sensible technical components</w:t>
        </w:r>
        <w:r>
          <w:rPr>
            <w:rStyle w:val="949"/>
            <w:highlight w:val="none"/>
          </w:rPr>
        </w:r>
        <w:r>
          <w:tab/>
        </w:r>
        <w:r>
          <w:fldChar w:fldCharType="begin"/>
          <w:instrText xml:space="preserve">PAGEREF _Toc4 \h</w:instrText>
          <w:fldChar w:fldCharType="separate"/>
          <w:t xml:space="preserve">2</w:t>
          <w:fldChar w:fldCharType="end"/>
        </w:r>
      </w:hyperlink>
      <w:r>
        <w:rPr>
          <w:highlight w:val="none"/>
        </w:rPr>
      </w:r>
    </w:p>
    <w:p>
      <w:pPr>
        <w:pStyle w:val="952"/>
        <w:pBdr/>
        <w:tabs>
          <w:tab w:val="right" w:leader="dot" w:pos="9740"/>
        </w:tabs>
        <w:spacing/>
        <w:ind/>
        <w:rPr>
          <w:highlight w:val="none"/>
        </w:rPr>
      </w:pPr>
      <w:hyperlink w:tooltip="#_Toc5" w:anchor="_Toc5" w:history="1">
        <w:r>
          <w:rPr>
            <w:rStyle w:val="949"/>
          </w:rPr>
        </w:r>
        <w:r>
          <w:rPr>
            <w:rStyle w:val="949"/>
          </w:rPr>
          <w:t xml:space="preserve">Data flow</w:t>
        </w:r>
        <w:r>
          <w:rPr>
            <w:rStyle w:val="949"/>
            <w:highlight w:val="none"/>
          </w:rPr>
        </w:r>
        <w:r>
          <w:tab/>
        </w:r>
        <w:r>
          <w:fldChar w:fldCharType="begin"/>
          <w:instrText xml:space="preserve">PAGEREF _Toc5 \h</w:instrText>
          <w:fldChar w:fldCharType="separate"/>
          <w:t xml:space="preserve">3</w:t>
          <w:fldChar w:fldCharType="end"/>
        </w:r>
      </w:hyperlink>
      <w:r>
        <w:rPr>
          <w:highlight w:val="none"/>
        </w:rPr>
      </w:r>
    </w:p>
    <w:p>
      <w:pPr>
        <w:pStyle w:val="952"/>
        <w:pBdr/>
        <w:tabs>
          <w:tab w:val="right" w:leader="dot" w:pos="9740"/>
        </w:tabs>
        <w:spacing/>
        <w:ind/>
        <w:rPr/>
      </w:pPr>
      <w:hyperlink w:tooltip="#_Toc6" w:anchor="_Toc6" w:history="1">
        <w:r>
          <w:rPr>
            <w:rStyle w:val="949"/>
          </w:rPr>
        </w:r>
        <w:r>
          <w:rPr>
            <w:rStyle w:val="949"/>
          </w:rPr>
          <w:t xml:space="preserve">Security zones</w:t>
        </w:r>
        <w:r>
          <w:rPr>
            <w:rStyle w:val="949"/>
          </w:rPr>
        </w:r>
        <w:r>
          <w:tab/>
        </w:r>
        <w:r>
          <w:fldChar w:fldCharType="begin"/>
          <w:instrText xml:space="preserve">PAGEREF _Toc6 \h</w:instrText>
          <w:fldChar w:fldCharType="separate"/>
          <w:t xml:space="preserve">3</w:t>
          <w:fldChar w:fldCharType="end"/>
        </w:r>
      </w:hyperlink>
      <w:r/>
    </w:p>
    <w:p>
      <w:pPr>
        <w:pStyle w:val="952"/>
        <w:pBdr/>
        <w:tabs>
          <w:tab w:val="right" w:leader="dot" w:pos="9740"/>
        </w:tabs>
        <w:spacing/>
        <w:ind/>
        <w:rPr/>
      </w:pPr>
      <w:hyperlink w:tooltip="#_Toc7" w:anchor="_Toc7" w:history="1">
        <w:r>
          <w:rPr>
            <w:rStyle w:val="949"/>
          </w:rPr>
        </w:r>
        <w:r>
          <w:rPr>
            <w:rStyle w:val="949"/>
          </w:rPr>
          <w:t xml:space="preserve">High-privilege accounts</w:t>
        </w:r>
        <w:r>
          <w:rPr>
            <w:rStyle w:val="949"/>
          </w:rPr>
        </w:r>
        <w:r>
          <w:tab/>
        </w:r>
        <w:r>
          <w:fldChar w:fldCharType="begin"/>
          <w:instrText xml:space="preserve">PAGEREF _Toc7 \h</w:instrText>
          <w:fldChar w:fldCharType="separate"/>
          <w:t xml:space="preserve">4</w:t>
          <w:fldChar w:fldCharType="end"/>
        </w:r>
      </w:hyperlink>
      <w:r/>
    </w:p>
    <w:p>
      <w:pPr>
        <w:pStyle w:val="952"/>
        <w:pBdr/>
        <w:tabs>
          <w:tab w:val="right" w:leader="dot" w:pos="9740"/>
        </w:tabs>
        <w:spacing/>
        <w:ind/>
        <w:rPr/>
      </w:pPr>
      <w:hyperlink w:tooltip="#_Toc8" w:anchor="_Toc8" w:history="1">
        <w:r>
          <w:rPr>
            <w:rStyle w:val="949"/>
          </w:rPr>
        </w:r>
        <w:r>
          <w:rPr>
            <w:rStyle w:val="949"/>
          </w:rPr>
          <w:t xml:space="preserve">Critical data bottlenecks</w:t>
        </w:r>
        <w:r>
          <w:rPr>
            <w:rStyle w:val="949"/>
          </w:rPr>
        </w:r>
        <w:r>
          <w:tab/>
        </w:r>
        <w:r>
          <w:fldChar w:fldCharType="begin"/>
          <w:instrText xml:space="preserve">PAGEREF _Toc8 \h</w:instrText>
          <w:fldChar w:fldCharType="separate"/>
          <w:t xml:space="preserve">4</w:t>
          <w:fldChar w:fldCharType="end"/>
        </w:r>
      </w:hyperlink>
      <w:r/>
    </w:p>
    <w:p>
      <w:pPr>
        <w:pStyle w:val="952"/>
        <w:pBdr/>
        <w:tabs>
          <w:tab w:val="right" w:leader="dot" w:pos="9740"/>
        </w:tabs>
        <w:spacing/>
        <w:ind/>
        <w:rPr>
          <w:highlight w:val="none"/>
        </w:rPr>
      </w:pPr>
      <w:hyperlink w:tooltip="#_Toc9" w:anchor="_Toc9" w:history="1">
        <w:r>
          <w:rPr>
            <w:rStyle w:val="949"/>
          </w:rPr>
        </w:r>
        <w:r>
          <w:rPr>
            <w:rStyle w:val="949"/>
          </w:rPr>
          <w:t xml:space="preserve">High-sensitivity assets</w:t>
        </w:r>
        <w:r>
          <w:rPr>
            <w:rStyle w:val="949"/>
            <w:highlight w:val="none"/>
          </w:rPr>
        </w:r>
        <w:r>
          <w:tab/>
        </w:r>
        <w:r>
          <w:fldChar w:fldCharType="begin"/>
          <w:instrText xml:space="preserve">PAGEREF _Toc9 \h</w:instrText>
          <w:fldChar w:fldCharType="separate"/>
          <w:t xml:space="preserve">4</w:t>
          <w:fldChar w:fldCharType="end"/>
        </w:r>
      </w:hyperlink>
      <w:r>
        <w:rPr>
          <w:highlight w:val="none"/>
        </w:rPr>
      </w:r>
    </w:p>
    <w:p>
      <w:pPr>
        <w:pStyle w:val="952"/>
        <w:pBdr/>
        <w:tabs>
          <w:tab w:val="right" w:leader="dot" w:pos="9740"/>
        </w:tabs>
        <w:spacing/>
        <w:ind/>
        <w:rPr/>
      </w:pPr>
      <w:hyperlink w:tooltip="#_Toc10" w:anchor="_Toc10" w:history="1">
        <w:r>
          <w:rPr>
            <w:rStyle w:val="949"/>
          </w:rPr>
        </w:r>
        <w:r>
          <w:rPr>
            <w:rStyle w:val="949"/>
          </w:rPr>
          <w:t xml:space="preserve">Exposition of an asset when combined</w:t>
        </w:r>
        <w:r>
          <w:rPr>
            <w:rStyle w:val="949"/>
          </w:rPr>
        </w:r>
        <w:r>
          <w:tab/>
        </w:r>
        <w:r>
          <w:fldChar w:fldCharType="begin"/>
          <w:instrText xml:space="preserve">PAGEREF _Toc10 \h</w:instrText>
          <w:fldChar w:fldCharType="separate"/>
          <w:t xml:space="preserve">4</w:t>
          <w:fldChar w:fldCharType="end"/>
        </w:r>
      </w:hyperlink>
      <w:r/>
    </w:p>
    <w:p>
      <w:pPr>
        <w:pStyle w:val="952"/>
        <w:pBdr/>
        <w:tabs>
          <w:tab w:val="right" w:leader="dot" w:pos="9740"/>
        </w:tabs>
        <w:spacing/>
        <w:ind/>
        <w:rPr/>
      </w:pPr>
      <w:hyperlink w:tooltip="#_Toc11" w:anchor="_Toc11" w:history="1">
        <w:r>
          <w:rPr>
            <w:rStyle w:val="949"/>
          </w:rPr>
        </w:r>
        <w:r>
          <w:rPr>
            <w:rStyle w:val="949"/>
          </w:rPr>
          <w:t xml:space="preserve">Prediction of failures and vulnerabilities (DRP)</w:t>
        </w:r>
        <w:r>
          <w:rPr>
            <w:rStyle w:val="949"/>
          </w:rPr>
        </w:r>
        <w:r>
          <w:tab/>
        </w:r>
        <w:r>
          <w:fldChar w:fldCharType="begin"/>
          <w:instrText xml:space="preserve">PAGEREF _Toc11 \h</w:instrText>
          <w:fldChar w:fldCharType="separate"/>
          <w:t xml:space="preserve">4</w:t>
          <w:fldChar w:fldCharType="end"/>
        </w:r>
      </w:hyperlink>
      <w:r/>
    </w:p>
    <w:p>
      <w:pPr>
        <w:pStyle w:val="952"/>
        <w:pBdr/>
        <w:tabs>
          <w:tab w:val="right" w:leader="dot" w:pos="9740"/>
        </w:tabs>
        <w:spacing/>
        <w:ind/>
        <w:rPr>
          <w:highlight w:val="none"/>
        </w:rPr>
      </w:pPr>
      <w:hyperlink w:tooltip="#_Toc12" w:anchor="_Toc12" w:history="1">
        <w:r>
          <w:rPr>
            <w:rStyle w:val="949"/>
          </w:rPr>
        </w:r>
        <w:r>
          <w:rPr>
            <w:rStyle w:val="949"/>
          </w:rPr>
          <w:t xml:space="preserve">Report conclusions</w:t>
        </w:r>
        <w:r>
          <w:rPr>
            <w:rStyle w:val="949"/>
          </w:rPr>
        </w:r>
        <w:r>
          <w:tab/>
        </w:r>
        <w:r>
          <w:fldChar w:fldCharType="begin"/>
          <w:instrText xml:space="preserve">PAGEREF _Toc12 \h</w:instrText>
          <w:fldChar w:fldCharType="separate"/>
          <w:t xml:space="preserve">5</w:t>
          <w:fldChar w:fldCharType="end"/>
        </w:r>
      </w:hyperlink>
      <w:r>
        <w:rPr>
          <w:highlight w:val="none"/>
        </w:rPr>
      </w:r>
    </w:p>
    <w:p>
      <w:pPr>
        <w:pStyle w:val="952"/>
        <w:pBdr/>
        <w:tabs>
          <w:tab w:val="right" w:leader="dot" w:pos="9740"/>
        </w:tabs>
        <w:spacing/>
        <w:ind/>
        <w:rPr>
          <w:highlight w:val="none"/>
        </w:rPr>
      </w:pPr>
      <w:hyperlink w:tooltip="#_Toc13" w:anchor="_Toc13" w:history="1">
        <w:r>
          <w:rPr>
            <w:rStyle w:val="949"/>
          </w:rPr>
        </w:r>
        <w:r>
          <w:rPr>
            <w:rStyle w:val="949"/>
          </w:rPr>
          <w:t xml:space="preserve">STRIDE</w:t>
        </w:r>
        <w:r>
          <w:rPr>
            <w:rStyle w:val="949"/>
          </w:rPr>
          <w:t xml:space="preserve"> analysis</w:t>
        </w:r>
        <w:r>
          <w:rPr>
            <w:rStyle w:val="949"/>
            <w:highlight w:val="none"/>
          </w:rPr>
        </w:r>
        <w:r>
          <w:tab/>
        </w:r>
        <w:r>
          <w:fldChar w:fldCharType="begin"/>
          <w:instrText xml:space="preserve">PAGEREF _Toc13 \h</w:instrText>
          <w:fldChar w:fldCharType="separate"/>
          <w:t xml:space="preserve">6</w:t>
          <w:fldChar w:fldCharType="end"/>
        </w:r>
      </w:hyperlink>
      <w:r>
        <w:rPr>
          <w:highlight w:val="none"/>
        </w:rPr>
      </w:r>
    </w:p>
    <w:p>
      <w:pPr>
        <w:pBdr/>
        <w:spacing w:after="0" w:afterAutospacing="0"/>
        <w:ind/>
        <w:jc w:val="both"/>
        <w:rPr>
          <w:highlight w:val="none"/>
        </w:rPr>
      </w:pPr>
      <w:r/>
      <w:r>
        <w:fldChar w:fldCharType="end"/>
      </w:r>
      <w:r>
        <w:br w:type="page" w:clear="all"/>
      </w:r>
      <w:r/>
      <w:r/>
    </w:p>
    <w:p>
      <w:pPr>
        <w:pStyle w:val="904"/>
        <w:pBdr/>
        <w:spacing/>
        <w:ind/>
        <w:jc w:val="both"/>
        <w:rPr/>
      </w:pPr>
      <w:r/>
      <w:bookmarkStart w:id="1" w:name="_Toc1"/>
      <w:r>
        <w:t xml:space="preserve">Identify criticality, bottlenecks</w:t>
      </w:r>
      <w:r/>
      <w:bookmarkEnd w:id="1"/>
      <w:r/>
      <w:r/>
    </w:p>
    <w:p>
      <w:pPr>
        <w:pStyle w:val="905"/>
        <w:pBdr/>
        <w:spacing/>
        <w:ind/>
        <w:jc w:val="both"/>
        <w:rPr/>
      </w:pPr>
      <w:r/>
      <w:bookmarkStart w:id="2" w:name="_Toc2"/>
      <w:r>
        <w:t xml:space="preserve">Context</w:t>
      </w:r>
      <w:r>
        <w:t xml:space="preserve"> of deployment</w:t>
      </w:r>
      <w:r/>
      <w:bookmarkEnd w:id="2"/>
      <w:r/>
      <w:r/>
    </w:p>
    <w:p>
      <w:pPr>
        <w:pBdr/>
        <w:spacing/>
        <w:ind/>
        <w:jc w:val="both"/>
        <w:rPr>
          <w:highlight w:val="none"/>
        </w:rPr>
      </w:pPr>
      <w:r>
        <w:t xml:space="preserve">As an e-shopping platform, ShopNow ought to deliver the best and fastest</w:t>
      </w:r>
      <w:r>
        <w:rPr>
          <w:highlight w:val="none"/>
        </w:rPr>
      </w:r>
    </w:p>
    <w:p>
      <w:pPr>
        <w:pBdr/>
        <w:spacing/>
        <w:ind/>
        <w:jc w:val="both"/>
        <w:rPr/>
      </w:pPr>
      <w:r>
        <w:rPr>
          <w:highlight w:val="none"/>
        </w:rPr>
        <w:t xml:space="preserve">In the user experience, from browsing to shipping, a several amount of data of various criticality nature and processed client and server-side. To ensure the best practices and the best outcome, ShopNow has missionned  </w:t>
      </w:r>
      <w:r>
        <w:rPr>
          <w:highlight w:val="none"/>
        </w:rPr>
      </w:r>
      <w:r/>
    </w:p>
    <w:p>
      <w:pPr>
        <w:pStyle w:val="905"/>
        <w:pBdr/>
        <w:spacing/>
        <w:ind/>
        <w:jc w:val="both"/>
        <w:rPr/>
      </w:pPr>
      <w:r/>
      <w:bookmarkStart w:id="3" w:name="_Toc3"/>
      <w:r>
        <w:rPr>
          <w:highlight w:val="none"/>
        </w:rPr>
        <w:t xml:space="preserve">Sensible data handling</w:t>
      </w:r>
      <w:r/>
      <w:bookmarkEnd w:id="3"/>
      <w:r/>
      <w:r/>
    </w:p>
    <w:p>
      <w:pPr>
        <w:pBdr/>
        <w:spacing/>
        <w:ind/>
        <w:jc w:val="both"/>
        <w:rPr>
          <w:highlight w:val="none"/>
        </w:rPr>
      </w:pPr>
      <w:r>
        <w:rPr>
          <w:highlight w:val="none"/>
        </w:rPr>
        <w:t xml:space="preserve">Considering the data handled within ShopNow, sensitive data </w:t>
      </w:r>
      <w:r>
        <w:t xml:space="preserve">includes :</w:t>
      </w:r>
      <w:r>
        <w:rPr>
          <w:highlight w:val="none"/>
        </w:rPr>
      </w:r>
      <w:r>
        <w:rPr>
          <w:highlight w:val="none"/>
        </w:rPr>
      </w:r>
    </w:p>
    <w:tbl>
      <w:tblPr>
        <w:tblW w:w="0" w:type="auto"/>
        <w:tblBorders/>
        <w:tblLayout w:type="fixed"/>
        <w:tblLook w:val="04A0" w:firstRow="1" w:lastRow="0" w:firstColumn="1" w:lastColumn="0" w:noHBand="0" w:noVBand="1"/>
        <w:tblStyle w:val="778"/>
      </w:tblPr>
      <w:tblGrid>
        <w:gridCol w:w="2460"/>
        <w:gridCol w:w="4677"/>
        <w:gridCol w:w="2603"/>
      </w:tblGrid>
      <w:tr>
        <w:trPr>
          <w:trHeight w:val="338"/>
        </w:trPr>
        <w:tc>
          <w:tcPr>
            <w:tcBorders/>
            <w:tcW w:w="2460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</w:rPr>
              <w:t xml:space="preserve">TYPE OF DATA</w:t>
            </w: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</w:p>
        </w:tc>
        <w:tc>
          <w:tcPr>
            <w:tcBorders/>
            <w:tcW w:w="4677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</w:rPr>
              <w:t xml:space="preserve">SENSIBILITY NATURE</w:t>
            </w: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</w:p>
        </w:tc>
        <w:tc>
          <w:tcPr>
            <w:tcBorders/>
            <w:tcW w:w="2603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</w:rPr>
              <w:t xml:space="preserve">ASSOCIATED RISKS</w:t>
            </w: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</w:p>
        </w:tc>
      </w:tr>
      <w:tr>
        <w:trPr/>
        <w:tc>
          <w:tcPr>
            <w:tcBorders/>
            <w:tcW w:w="2460" w:type="dxa"/>
            <w:textDirection w:val="lrTb"/>
            <w:noWrap w:val="false"/>
          </w:tcPr>
          <w:p>
            <w:pPr>
              <w:pBdr/>
              <w:spacing/>
              <w:ind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Client data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/>
            <w:tcW w:w="4677" w:type="dxa"/>
            <w:textDirection w:val="lrTb"/>
            <w:noWrap w:val="false"/>
          </w:tcPr>
          <w:p>
            <w:pPr>
              <w:pBdr/>
              <w:spacing/>
              <w:ind/>
              <w:jc w:val="left"/>
              <w:rPr>
                <w:highlight w:val="none"/>
              </w:rPr>
            </w:pPr>
            <w:r>
              <w:rPr>
                <w:highlight w:val="none"/>
              </w:rPr>
            </w:r>
            <w:r>
              <w:t xml:space="preserve">Name, Email, Physical address</w:t>
            </w:r>
            <w:r>
              <w:t xml:space="preserve"> (GDPR type)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/>
            <w:tcW w:w="2603" w:type="dxa"/>
            <w:textDirection w:val="lrTb"/>
            <w:noWrap w:val="false"/>
          </w:tcPr>
          <w:p>
            <w:pPr>
              <w:pBdr/>
              <w:spacing/>
              <w:ind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Phishing campaigns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rPr/>
        <w:tc>
          <w:tcPr>
            <w:tcBorders/>
            <w:tcW w:w="2460" w:type="dxa"/>
            <w:textDirection w:val="lrTb"/>
            <w:noWrap w:val="false"/>
          </w:tcPr>
          <w:p>
            <w:pPr>
              <w:pBdr/>
              <w:spacing/>
              <w:ind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Details of order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/>
            <w:tcW w:w="4677" w:type="dxa"/>
            <w:textDirection w:val="lrTb"/>
            <w:noWrap w:val="false"/>
          </w:tcPr>
          <w:p>
            <w:pPr>
              <w:pBdr/>
              <w:spacing/>
              <w:ind/>
              <w:jc w:val="left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  <w:t xml:space="preserve">Date, Price total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/>
            <w:tcW w:w="2603" w:type="dxa"/>
            <w:textDirection w:val="lrTb"/>
            <w:noWrap w:val="false"/>
          </w:tcPr>
          <w:p>
            <w:pPr>
              <w:pBdr/>
              <w:spacing/>
              <w:ind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Phishing campaigns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rPr/>
        <w:tc>
          <w:tcPr>
            <w:tcBorders/>
            <w:tcW w:w="2460" w:type="dxa"/>
            <w:textDirection w:val="lrTb"/>
            <w:noWrap w:val="false"/>
          </w:tcPr>
          <w:p>
            <w:pPr>
              <w:pBdr/>
              <w:spacing/>
              <w:ind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Authentification tokens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/>
            <w:tcW w:w="4677" w:type="dxa"/>
            <w:textDirection w:val="lrTb"/>
            <w:noWrap w:val="false"/>
          </w:tcPr>
          <w:p>
            <w:pPr>
              <w:pBdr/>
              <w:spacing/>
              <w:ind/>
              <w:jc w:val="left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  <w:t xml:space="preserve">JWT tokens (for API handling) and refresh token (for aborted sessions without interrupting shopping flow)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/>
            <w:tcW w:w="2603" w:type="dxa"/>
            <w:textDirection w:val="lrTb"/>
            <w:noWrap w:val="false"/>
          </w:tcPr>
          <w:p>
            <w:pPr>
              <w:pBdr/>
              <w:spacing/>
              <w:ind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Credentials stuffing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rPr/>
        <w:tc>
          <w:tcPr>
            <w:tcBorders/>
            <w:tcW w:w="2460" w:type="dxa"/>
            <w:textDirection w:val="lrTb"/>
            <w:noWrap w:val="false"/>
          </w:tcPr>
          <w:p>
            <w:pPr>
              <w:pBdr/>
              <w:spacing/>
              <w:ind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Payment data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/>
            <w:tcW w:w="4677" w:type="dxa"/>
            <w:textDirection w:val="lrTb"/>
            <w:noWrap w:val="false"/>
          </w:tcPr>
          <w:p>
            <w:pPr>
              <w:pBdr/>
              <w:spacing/>
              <w:ind/>
              <w:jc w:val="left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  <w:t xml:space="preserve">Transactionnal references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/>
            <w:tcW w:w="2603" w:type="dxa"/>
            <w:textDirection w:val="lrTb"/>
            <w:noWrap w:val="false"/>
          </w:tcPr>
          <w:p>
            <w:pPr>
              <w:pBdr/>
              <w:spacing/>
              <w:ind/>
              <w:jc w:val="left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rPr/>
        <w:tc>
          <w:tcPr>
            <w:tcBorders/>
            <w:tcW w:w="2460" w:type="dxa"/>
            <w:textDirection w:val="lrTb"/>
            <w:noWrap w:val="false"/>
          </w:tcPr>
          <w:p>
            <w:pPr>
              <w:pBdr/>
              <w:spacing/>
              <w:ind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Keys and secrets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/>
            <w:tcW w:w="4677" w:type="dxa"/>
            <w:textDirection w:val="lrTb"/>
            <w:noWrap w:val="false"/>
          </w:tcPr>
          <w:p>
            <w:pPr>
              <w:pBdr/>
              <w:spacing/>
              <w:ind/>
              <w:jc w:val="left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  <w:t xml:space="preserve">API keys, deployment secrets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/>
            <w:tcW w:w="2603" w:type="dxa"/>
            <w:textDirection w:val="lrTb"/>
            <w:noWrap w:val="false"/>
          </w:tcPr>
          <w:p>
            <w:pPr>
              <w:pBdr/>
              <w:spacing/>
              <w:ind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CI/CD poisoning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rPr/>
        <w:tc>
          <w:tcPr>
            <w:tcBorders/>
            <w:tcW w:w="2460" w:type="dxa"/>
            <w:textDirection w:val="lrTb"/>
            <w:noWrap w:val="false"/>
          </w:tcPr>
          <w:p>
            <w:pPr>
              <w:pBdr/>
              <w:spacing/>
              <w:ind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Backend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/>
            <w:tcW w:w="4677" w:type="dxa"/>
            <w:textDirection w:val="lrTb"/>
            <w:noWrap w:val="false"/>
          </w:tcPr>
          <w:p>
            <w:pPr>
              <w:pBdr/>
              <w:spacing/>
              <w:ind/>
              <w:jc w:val="left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  <w:t xml:space="preserve">Codebase integrity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/>
            <w:tcW w:w="2603" w:type="dxa"/>
            <w:textDirection w:val="lrTb"/>
            <w:noWrap w:val="false"/>
          </w:tcPr>
          <w:p>
            <w:pPr>
              <w:pBdr/>
              <w:spacing/>
              <w:ind/>
              <w:jc w:val="left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rPr/>
        <w:tc>
          <w:tcPr>
            <w:tcBorders/>
            <w:tcW w:w="2460" w:type="dxa"/>
            <w:textDirection w:val="lrTb"/>
            <w:noWrap w:val="false"/>
          </w:tcPr>
          <w:p>
            <w:pPr>
              <w:pBdr/>
              <w:spacing/>
              <w:ind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Databases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/>
            <w:tcW w:w="4677" w:type="dxa"/>
            <w:textDirection w:val="lrTb"/>
            <w:noWrap w:val="false"/>
          </w:tcPr>
          <w:p>
            <w:pPr>
              <w:pBdr/>
              <w:spacing/>
              <w:ind/>
              <w:jc w:val="left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  <w:t xml:space="preserve">Customers, Logins, Products and Invoices storage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/>
            <w:tcW w:w="2603" w:type="dxa"/>
            <w:textDirection w:val="lrTb"/>
            <w:noWrap w:val="false"/>
          </w:tcPr>
          <w:p>
            <w:pPr>
              <w:pBdr/>
              <w:spacing/>
              <w:ind/>
              <w:jc w:val="left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rPr/>
        <w:tc>
          <w:tcPr>
            <w:tcBorders/>
            <w:tcW w:w="2460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Auth API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/>
            <w:tcW w:w="4677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left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  <w:t xml:space="preserve">Login sessions and tokens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/>
            <w:tcW w:w="2603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Credentiels stuffing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rPr/>
        <w:tc>
          <w:tcPr>
            <w:tcBorders/>
            <w:tcW w:w="2460" w:type="dxa"/>
            <w:textDirection w:val="lrTb"/>
            <w:noWrap w:val="false"/>
          </w:tcPr>
          <w:p>
            <w:pPr>
              <w:pBdr/>
              <w:spacing/>
              <w:ind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Payment API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/>
            <w:tcW w:w="4677" w:type="dxa"/>
            <w:textDirection w:val="lrTb"/>
            <w:noWrap w:val="false"/>
          </w:tcPr>
          <w:p>
            <w:pPr>
              <w:pBdr/>
              <w:spacing/>
              <w:ind/>
              <w:jc w:val="left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  <w:t xml:space="preserve">STRIPE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/>
            <w:tcW w:w="2603" w:type="dxa"/>
            <w:textDirection w:val="lrTb"/>
            <w:noWrap w:val="false"/>
          </w:tcPr>
          <w:p>
            <w:pPr>
              <w:pBdr/>
              <w:spacing/>
              <w:ind/>
              <w:jc w:val="left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rPr/>
        <w:tc>
          <w:tcPr>
            <w:tcBorders/>
            <w:tcW w:w="2460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Payment flow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/>
            <w:tcW w:w="4677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left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  <w:t xml:space="preserve">Transactions tokens and banking data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/>
            <w:tcW w:w="2603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left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</w:tbl>
    <w:p>
      <w:pPr>
        <w:pBdr/>
        <w:spacing/>
        <w:ind/>
        <w:jc w:val="both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905"/>
        <w:pBdr/>
        <w:spacing/>
        <w:ind/>
        <w:jc w:val="both"/>
        <w:rPr>
          <w:highlight w:val="none"/>
        </w:rPr>
      </w:pPr>
      <w:r/>
      <w:bookmarkStart w:id="4" w:name="_Toc4"/>
      <w:r>
        <w:t xml:space="preserve">Identifying</w:t>
      </w:r>
      <w:r>
        <w:t xml:space="preserve"> sensible technical components</w:t>
      </w:r>
      <w:r/>
      <w:bookmarkEnd w:id="4"/>
      <w:r/>
      <w:r>
        <w:rPr>
          <w:highlight w:val="none"/>
        </w:rPr>
      </w:r>
    </w:p>
    <w:p>
      <w:pPr>
        <w:pBdr/>
        <w:spacing/>
        <w:ind/>
        <w:rPr>
          <w:highlight w:val="none"/>
        </w:rPr>
      </w:pPr>
      <w:r>
        <w:t xml:space="preserve">Technical components constituting infrastructre backbone includes :</w:t>
      </w:r>
      <w:r>
        <w:rPr>
          <w:highlight w:val="none"/>
        </w:rPr>
      </w:r>
    </w:p>
    <w:tbl>
      <w:tblPr>
        <w:tblW w:w="0" w:type="auto"/>
        <w:tblBorders/>
        <w:tblLayout w:type="fixed"/>
        <w:tblLook w:val="04A0" w:firstRow="1" w:lastRow="0" w:firstColumn="1" w:lastColumn="0" w:noHBand="0" w:noVBand="1"/>
        <w:tblStyle w:val="778"/>
      </w:tblPr>
      <w:tblGrid>
        <w:gridCol w:w="3736"/>
        <w:gridCol w:w="6004"/>
      </w:tblGrid>
      <w:tr>
        <w:trPr>
          <w:trHeight w:val="350"/>
        </w:trPr>
        <w:tc>
          <w:tcPr>
            <w:tcBorders/>
            <w:tcW w:w="3736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</w:rPr>
              <w:t xml:space="preserve">SENSIBLE TECH COMPONENTS</w:t>
            </w: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</w:p>
        </w:tc>
        <w:tc>
          <w:tcPr>
            <w:tcBorders/>
            <w:tcW w:w="6004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</w:rPr>
              <w:t xml:space="preserve">BUSINESS LOGIC</w:t>
            </w: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</w:p>
        </w:tc>
      </w:tr>
      <w:tr>
        <w:trPr/>
        <w:tc>
          <w:tcPr>
            <w:tcBorders/>
            <w:tcW w:w="3736" w:type="dxa"/>
            <w:textDirection w:val="lrTb"/>
            <w:noWrap w:val="false"/>
          </w:tcPr>
          <w:p>
            <w:pPr>
              <w:pBdr/>
              <w:spacing/>
              <w:ind/>
              <w:rPr>
                <w:highlight w:val="none"/>
              </w:rPr>
            </w:pPr>
            <w:r>
              <w:rPr>
                <w:highlight w:val="none"/>
              </w:rPr>
              <w:t xml:space="preserve">Backend / API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/>
            <w:tcW w:w="6004" w:type="dxa"/>
            <w:textDirection w:val="lrTb"/>
            <w:noWrap w:val="false"/>
          </w:tcPr>
          <w:p>
            <w:pPr>
              <w:pBdr/>
              <w:spacing/>
              <w:ind/>
              <w:rPr>
                <w:highlight w:val="none"/>
              </w:rPr>
            </w:pPr>
            <w:r>
              <w:rPr>
                <w:highlight w:val="none"/>
              </w:rPr>
              <w:t xml:space="preserve">The product core before frontend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rPr/>
        <w:tc>
          <w:tcPr>
            <w:tcBorders/>
            <w:tcW w:w="3736" w:type="dxa"/>
            <w:textDirection w:val="lrTb"/>
            <w:noWrap w:val="false"/>
          </w:tcPr>
          <w:p>
            <w:pPr>
              <w:pBdr/>
              <w:spacing/>
              <w:ind/>
              <w:rPr>
                <w:highlight w:val="none"/>
              </w:rPr>
            </w:pPr>
            <w:r>
              <w:rPr>
                <w:highlight w:val="none"/>
              </w:rPr>
              <w:t xml:space="preserve">Authentification API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/>
            <w:tcW w:w="6004" w:type="dxa"/>
            <w:textDirection w:val="lrTb"/>
            <w:noWrap w:val="false"/>
          </w:tcPr>
          <w:p>
            <w:pPr>
              <w:pBdr/>
              <w:spacing/>
              <w:ind/>
              <w:rPr>
                <w:highlight w:val="none"/>
              </w:rPr>
            </w:pPr>
            <w:r>
              <w:rPr>
                <w:highlight w:val="none"/>
              </w:rPr>
              <w:t xml:space="preserve">Handling authentification (sessions, tokens, access rights)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rPr/>
        <w:tc>
          <w:tcPr>
            <w:tcBorders/>
            <w:tcW w:w="3736" w:type="dxa"/>
            <w:textDirection w:val="lrTb"/>
            <w:noWrap w:val="false"/>
          </w:tcPr>
          <w:p>
            <w:pPr>
              <w:pBdr/>
              <w:spacing/>
              <w:ind/>
              <w:rPr>
                <w:highlight w:val="none"/>
              </w:rPr>
            </w:pPr>
            <w:r>
              <w:rPr>
                <w:highlight w:val="none"/>
              </w:rPr>
              <w:t xml:space="preserve">Databases (PostgreSQL, MySQL)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/>
            <w:tcW w:w="6004" w:type="dxa"/>
            <w:textDirection w:val="lrTb"/>
            <w:noWrap w:val="false"/>
          </w:tcPr>
          <w:p>
            <w:pPr>
              <w:pBdr/>
              <w:spacing/>
              <w:ind/>
              <w:rPr>
                <w:highlight w:val="none"/>
              </w:rPr>
            </w:pPr>
            <w:r>
              <w:rPr>
                <w:highlight w:val="none"/>
              </w:rPr>
              <w:t xml:space="preserve">Sensible data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rPr/>
        <w:tc>
          <w:tcPr>
            <w:tcBorders/>
            <w:tcW w:w="3736" w:type="dxa"/>
            <w:textDirection w:val="lrTb"/>
            <w:noWrap w:val="false"/>
          </w:tcPr>
          <w:p>
            <w:pPr>
              <w:pBdr/>
              <w:spacing/>
              <w:ind/>
              <w:rPr>
                <w:highlight w:val="none"/>
              </w:rPr>
            </w:pPr>
            <w:r>
              <w:rPr>
                <w:highlight w:val="none"/>
              </w:rPr>
              <w:t xml:space="preserve">Reverse Proxy Server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/>
            <w:tcW w:w="6004" w:type="dxa"/>
            <w:textDirection w:val="lrTb"/>
            <w:noWrap w:val="false"/>
          </w:tcPr>
          <w:p>
            <w:pPr>
              <w:pBdr/>
              <w:spacing/>
              <w:ind/>
              <w:rPr>
                <w:highlight w:val="none"/>
              </w:rPr>
            </w:pPr>
            <w:r>
              <w:rPr>
                <w:highlight w:val="none"/>
              </w:rPr>
              <w:t xml:space="preserve">Requests filtration and redirection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rPr/>
        <w:tc>
          <w:tcPr>
            <w:tcBorders/>
            <w:tcW w:w="3736" w:type="dxa"/>
            <w:textDirection w:val="lrTb"/>
            <w:noWrap w:val="false"/>
          </w:tcPr>
          <w:p>
            <w:pPr>
              <w:pBdr/>
              <w:spacing/>
              <w:ind/>
              <w:rPr>
                <w:highlight w:val="none"/>
              </w:rPr>
            </w:pPr>
            <w:r>
              <w:rPr>
                <w:highlight w:val="none"/>
              </w:rPr>
              <w:t xml:space="preserve">WAF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/>
            <w:tcW w:w="6004" w:type="dxa"/>
            <w:textDirection w:val="lrTb"/>
            <w:noWrap w:val="false"/>
          </w:tcPr>
          <w:p>
            <w:pPr>
              <w:pBdr/>
              <w:spacing/>
              <w:ind/>
              <w:rPr>
                <w:highlight w:val="none"/>
              </w:rPr>
            </w:pPr>
            <w:r>
              <w:rPr>
                <w:highlight w:val="none"/>
              </w:rPr>
              <w:t xml:space="preserve">Web attacks handler and alerter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rPr/>
        <w:tc>
          <w:tcPr>
            <w:tcBorders/>
            <w:tcW w:w="3736" w:type="dxa"/>
            <w:textDirection w:val="lrTb"/>
            <w:noWrap w:val="false"/>
          </w:tcPr>
          <w:p>
            <w:pPr>
              <w:pBdr/>
              <w:spacing/>
              <w:ind/>
              <w:rPr>
                <w:highlight w:val="none"/>
              </w:rPr>
            </w:pPr>
            <w:r>
              <w:rPr>
                <w:highlight w:val="none"/>
              </w:rPr>
              <w:t xml:space="preserve">Payment API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/>
            <w:tcW w:w="6004" w:type="dxa"/>
            <w:textDirection w:val="lrTb"/>
            <w:noWrap w:val="false"/>
          </w:tcPr>
          <w:p>
            <w:pPr>
              <w:pBdr/>
              <w:spacing/>
              <w:ind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rPr/>
        <w:tc>
          <w:tcPr>
            <w:tcBorders/>
            <w:tcW w:w="3736" w:type="dxa"/>
            <w:textDirection w:val="lrTb"/>
            <w:noWrap w:val="false"/>
          </w:tcPr>
          <w:p>
            <w:pPr>
              <w:pBdr/>
              <w:spacing/>
              <w:ind/>
              <w:rPr>
                <w:highlight w:val="none"/>
              </w:rPr>
            </w:pPr>
            <w:r>
              <w:rPr>
                <w:highlight w:val="none"/>
              </w:rPr>
              <w:t xml:space="preserve">Endpoints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/>
            <w:tcW w:w="6004" w:type="dxa"/>
            <w:textDirection w:val="lrTb"/>
            <w:noWrap w:val="false"/>
          </w:tcPr>
          <w:p>
            <w:pPr>
              <w:pBdr/>
              <w:spacing/>
              <w:ind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rPr/>
        <w:tc>
          <w:tcPr>
            <w:tcBorders/>
            <w:tcW w:w="3736" w:type="dxa"/>
            <w:textDirection w:val="lrTb"/>
            <w:noWrap w:val="false"/>
          </w:tcPr>
          <w:p>
            <w:pPr>
              <w:pBdr/>
              <w:spacing/>
              <w:ind/>
              <w:rPr>
                <w:highlight w:val="none"/>
              </w:rPr>
            </w:pPr>
            <w:r>
              <w:rPr>
                <w:highlight w:val="none"/>
              </w:rPr>
              <w:t xml:space="preserve">CDN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/>
            <w:tcW w:w="6004" w:type="dxa"/>
            <w:textDirection w:val="lrTb"/>
            <w:noWrap w:val="false"/>
          </w:tcPr>
          <w:p>
            <w:pPr>
              <w:pBdr/>
              <w:spacing/>
              <w:ind/>
              <w:rPr>
                <w:highlight w:val="none"/>
              </w:rPr>
            </w:pPr>
            <w:r>
              <w:rPr>
                <w:highlight w:val="none"/>
              </w:rPr>
              <w:t xml:space="preserve">Products displaying per region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</w:tbl>
    <w:p>
      <w:pPr>
        <w:pBdr/>
        <w:spacing/>
        <w:ind/>
        <w:rPr/>
      </w:pPr>
      <w:r>
        <w:rPr>
          <w:highlight w:val="none"/>
        </w:rPr>
      </w:r>
      <w:r>
        <w:rPr>
          <w:highlight w:val="none"/>
        </w:rPr>
      </w:r>
      <w:r/>
    </w:p>
    <w:p>
      <w:pPr>
        <w:pBdr/>
        <w:shd w:val="nil" w:color="auto"/>
        <w:spacing/>
        <w:ind/>
        <w:rPr/>
      </w:pPr>
      <w:r>
        <w:rPr>
          <w:highlight w:val="none"/>
        </w:rPr>
      </w:r>
      <w:r>
        <w:rPr>
          <w:highlight w:val="none"/>
        </w:rPr>
        <w:br w:type="page" w:clear="all"/>
      </w:r>
      <w:r>
        <w:rPr>
          <w:highlight w:val="none"/>
        </w:rPr>
      </w:r>
      <w:r/>
    </w:p>
    <w:p>
      <w:pPr>
        <w:pStyle w:val="905"/>
        <w:pBdr/>
        <w:spacing/>
        <w:ind/>
        <w:jc w:val="both"/>
        <w:rPr>
          <w:highlight w:val="none"/>
        </w:rPr>
      </w:pPr>
      <w:r/>
      <w:bookmarkStart w:id="5" w:name="_Toc5"/>
      <w:r>
        <w:t xml:space="preserve">Data flow</w:t>
      </w:r>
      <w:r/>
      <w:bookmarkEnd w:id="5"/>
      <w:r/>
      <w:r>
        <w:rPr>
          <w:highlight w:val="none"/>
        </w:rPr>
      </w:r>
    </w:p>
    <w:p>
      <w:pPr>
        <w:pBdr/>
        <w:spacing/>
        <w:ind/>
        <w:rPr/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6185110" cy="3982697"/>
                <wp:effectExtent l="0" t="0" r="0" b="0"/>
                <wp:docPr id="2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32119421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6185109" cy="398269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" o:spid="_x0000_s1" type="#_x0000_t75" style="width:487.02pt;height:313.60pt;mso-wrap-distance-left:0.00pt;mso-wrap-distance-top:0.00pt;mso-wrap-distance-right:0.00pt;mso-wrap-distance-bottom:0.00pt;z-index:1;" stroked="false">
                <v:imagedata r:id="rId12" o:title=""/>
                <o:lock v:ext="edit" rotation="t"/>
              </v:shape>
            </w:pict>
          </mc:Fallback>
        </mc:AlternateContent>
      </w:r>
      <w:r/>
    </w:p>
    <w:p>
      <w:pPr>
        <w:pBdr/>
        <w:spacing/>
        <w:ind/>
        <w:rPr>
          <w:highlight w:val="none"/>
        </w:rPr>
      </w:pPr>
      <w:r>
        <w:t xml:space="preserve">Sensible data flow includes flows processing sensible data, and thus needing special security or secrecy.</w:t>
      </w:r>
      <w:r>
        <w:rPr>
          <w:highlight w:val="none"/>
        </w:rPr>
      </w:r>
    </w:p>
    <w:tbl>
      <w:tblPr>
        <w:tblW w:w="0" w:type="auto"/>
        <w:tblBorders/>
        <w:tblLayout w:type="fixed"/>
        <w:tblLook w:val="04A0" w:firstRow="1" w:lastRow="0" w:firstColumn="1" w:lastColumn="0" w:noHBand="0" w:noVBand="1"/>
        <w:tblStyle w:val="778"/>
      </w:tblPr>
      <w:tblGrid>
        <w:gridCol w:w="760"/>
        <w:gridCol w:w="3969"/>
        <w:gridCol w:w="5102"/>
      </w:tblGrid>
      <w:tr>
        <w:trPr>
          <w:trHeight w:val="274"/>
        </w:trPr>
        <w:tc>
          <w:tcPr>
            <w:tcBorders/>
            <w:tcW w:w="76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</w:rPr>
              <w:t xml:space="preserve">ID</w:t>
            </w: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</w:p>
        </w:tc>
        <w:tc>
          <w:tcPr>
            <w:tcBorders/>
            <w:tcW w:w="396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</w:rPr>
              <w:t xml:space="preserve">SENSIBLE DATA FLOW</w:t>
            </w: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</w:p>
        </w:tc>
        <w:tc>
          <w:tcPr>
            <w:tcBorders/>
            <w:tcW w:w="510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</w:rPr>
              <w:t xml:space="preserve">FLOW PURPOSES</w:t>
            </w: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</w:p>
        </w:tc>
      </w:tr>
      <w:tr>
        <w:trPr>
          <w:trHeight w:val="274"/>
        </w:trPr>
        <w:tc>
          <w:tcPr>
            <w:tcBorders/>
            <w:tcW w:w="760" w:type="dxa"/>
            <w:textDirection w:val="lrTb"/>
            <w:noWrap w:val="false"/>
          </w:tcPr>
          <w:p>
            <w:pPr>
              <w:pBdr/>
              <w:spacing/>
              <w:ind/>
              <w:rPr>
                <w:highlight w:val="none"/>
              </w:rPr>
            </w:pPr>
            <w:r>
              <w:rPr>
                <w:highlight w:val="none"/>
              </w:rPr>
              <w:t xml:space="preserve">F1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/>
            <w:tcW w:w="3969" w:type="dxa"/>
            <w:textDirection w:val="lrTb"/>
            <w:noWrap w:val="false"/>
          </w:tcPr>
          <w:p>
            <w:pPr>
              <w:pBdr/>
              <w:spacing/>
              <w:ind/>
              <w:rPr>
                <w:highlight w:val="none"/>
              </w:rPr>
            </w:pPr>
            <w:r>
              <w:rPr>
                <w:highlight w:val="none"/>
              </w:rPr>
              <w:t xml:space="preserve">Authentification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/>
            <w:tcW w:w="5102" w:type="dxa"/>
            <w:textDirection w:val="lrTb"/>
            <w:noWrap w:val="false"/>
          </w:tcPr>
          <w:p>
            <w:pPr>
              <w:pBdr/>
              <w:spacing/>
              <w:ind/>
              <w:rPr>
                <w:highlight w:val="none"/>
              </w:rPr>
            </w:pPr>
            <w:r>
              <w:rPr>
                <w:highlight w:val="none"/>
              </w:rPr>
              <w:t xml:space="preserve">Eveything related to login, refreshing, logout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rPr>
          <w:trHeight w:val="274"/>
        </w:trPr>
        <w:tc>
          <w:tcPr>
            <w:tcBorders/>
            <w:tcW w:w="760" w:type="dxa"/>
            <w:textDirection w:val="lrTb"/>
            <w:noWrap w:val="false"/>
          </w:tcPr>
          <w:p>
            <w:pPr>
              <w:pBdr/>
              <w:spacing/>
              <w:ind/>
              <w:rPr>
                <w:highlight w:val="none"/>
              </w:rPr>
            </w:pPr>
            <w:r>
              <w:rPr>
                <w:highlight w:val="none"/>
              </w:rPr>
              <w:t xml:space="preserve">F2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/>
            <w:tcW w:w="3969" w:type="dxa"/>
            <w:textDirection w:val="lrTb"/>
            <w:noWrap w:val="false"/>
          </w:tcPr>
          <w:p>
            <w:pPr>
              <w:pBdr/>
              <w:spacing/>
              <w:ind/>
              <w:rPr>
                <w:highlight w:val="none"/>
              </w:rPr>
            </w:pPr>
            <w:r>
              <w:rPr>
                <w:highlight w:val="none"/>
              </w:rPr>
              <w:t xml:space="preserve">Payment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/>
            <w:tcW w:w="5102" w:type="dxa"/>
            <w:textDirection w:val="lrTb"/>
            <w:noWrap w:val="false"/>
          </w:tcPr>
          <w:p>
            <w:pPr>
              <w:pBdr/>
              <w:spacing/>
              <w:ind/>
              <w:rPr>
                <w:highlight w:val="none"/>
              </w:rPr>
            </w:pPr>
            <w:r>
              <w:rPr>
                <w:highlight w:val="none"/>
              </w:rPr>
              <w:t xml:space="preserve">Payment third-parties connected to backend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rPr>
          <w:trHeight w:val="274"/>
        </w:trPr>
        <w:tc>
          <w:tcPr>
            <w:tcBorders/>
            <w:tcW w:w="760" w:type="dxa"/>
            <w:textDirection w:val="lrTb"/>
            <w:noWrap w:val="false"/>
          </w:tcPr>
          <w:p>
            <w:pPr>
              <w:pBdr/>
              <w:spacing/>
              <w:ind/>
              <w:rPr>
                <w:highlight w:val="none"/>
              </w:rPr>
            </w:pPr>
            <w:r>
              <w:rPr>
                <w:highlight w:val="none"/>
              </w:rPr>
              <w:t xml:space="preserve">F6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/>
            <w:tcW w:w="3969" w:type="dxa"/>
            <w:textDirection w:val="lrTb"/>
            <w:noWrap w:val="false"/>
          </w:tcPr>
          <w:p>
            <w:pPr>
              <w:pBdr/>
              <w:spacing/>
              <w:ind/>
              <w:rPr>
                <w:highlight w:val="none"/>
              </w:rPr>
            </w:pPr>
            <w:r>
              <w:rPr>
                <w:highlight w:val="none"/>
              </w:rPr>
              <w:t xml:space="preserve">Administration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/>
            <w:tcW w:w="5102" w:type="dxa"/>
            <w:textDirection w:val="lrTb"/>
            <w:noWrap w:val="false"/>
          </w:tcPr>
          <w:p>
            <w:pPr>
              <w:pBdr/>
              <w:spacing/>
              <w:ind/>
              <w:rPr>
                <w:highlight w:val="none"/>
              </w:rPr>
            </w:pPr>
            <w:r>
              <w:rPr>
                <w:highlight w:val="none"/>
              </w:rPr>
              <w:t xml:space="preserve">Products stock, prices, sales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rPr>
          <w:trHeight w:val="274"/>
        </w:trPr>
        <w:tc>
          <w:tcPr>
            <w:tcBorders/>
            <w:tcW w:w="760" w:type="dxa"/>
            <w:textDirection w:val="lrTb"/>
            <w:noWrap w:val="false"/>
          </w:tcPr>
          <w:p>
            <w:pPr>
              <w:pBdr/>
              <w:spacing/>
              <w:ind/>
              <w:rPr>
                <w:highlight w:val="none"/>
              </w:rPr>
            </w:pPr>
            <w:r>
              <w:rPr>
                <w:highlight w:val="none"/>
              </w:rPr>
              <w:t xml:space="preserve">F7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/>
            <w:tcW w:w="3969" w:type="dxa"/>
            <w:textDirection w:val="lrTb"/>
            <w:noWrap w:val="false"/>
          </w:tcPr>
          <w:p>
            <w:pPr>
              <w:pBdr/>
              <w:spacing/>
              <w:ind/>
              <w:rPr>
                <w:highlight w:val="none"/>
              </w:rPr>
            </w:pPr>
            <w:r>
              <w:rPr>
                <w:highlight w:val="none"/>
              </w:rPr>
              <w:t xml:space="preserve">Logs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/>
            <w:tcW w:w="5102" w:type="dxa"/>
            <w:textDirection w:val="lrTb"/>
            <w:noWrap w:val="false"/>
          </w:tcPr>
          <w:p>
            <w:pPr>
              <w:pBdr/>
              <w:spacing/>
              <w:ind/>
              <w:rPr>
                <w:highlight w:val="none"/>
              </w:rPr>
            </w:pPr>
            <w:r>
              <w:rPr>
                <w:highlight w:val="none"/>
              </w:rPr>
              <w:t xml:space="preserve">Logging processing and storage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</w:tbl>
    <w:p>
      <w:pPr>
        <w:pStyle w:val="905"/>
        <w:pBdr/>
        <w:spacing/>
        <w:ind/>
        <w:jc w:val="both"/>
        <w:rPr/>
      </w:pPr>
      <w:r/>
      <w:bookmarkStart w:id="6" w:name="_Toc6"/>
      <w:r>
        <w:t xml:space="preserve">Security zones</w:t>
      </w:r>
      <w:r/>
      <w:bookmarkEnd w:id="6"/>
      <w:r/>
      <w:r/>
    </w:p>
    <w:p>
      <w:pPr>
        <w:pBdr/>
        <w:spacing/>
        <w:ind/>
        <w:rPr>
          <w:highlight w:val="none"/>
        </w:rPr>
      </w:pPr>
      <w:r>
        <w:t xml:space="preserve">Security zones must be isolated considering the need of data integrity and external inaccessibility. Zones to isolate includes :</w:t>
      </w:r>
      <w:r>
        <w:rPr>
          <w:highlight w:val="none"/>
        </w:rPr>
      </w:r>
    </w:p>
    <w:tbl>
      <w:tblPr>
        <w:tblW w:w="0" w:type="auto"/>
        <w:tblBorders/>
        <w:tblLook w:val="04A0" w:firstRow="1" w:lastRow="0" w:firstColumn="1" w:lastColumn="0" w:noHBand="0" w:noVBand="1"/>
        <w:tblStyle w:val="778"/>
      </w:tblPr>
      <w:tblGrid>
        <w:gridCol w:w="4870"/>
        <w:gridCol w:w="4870"/>
      </w:tblGrid>
      <w:tr>
        <w:trPr>
          <w:trHeight w:val="360"/>
        </w:trPr>
        <w:tc>
          <w:tcPr>
            <w:tcBorders/>
            <w:tcW w:w="487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</w:rPr>
              <w:t xml:space="preserve">SECURE ZONES</w:t>
            </w: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</w:p>
        </w:tc>
        <w:tc>
          <w:tcPr>
            <w:tcBorders/>
            <w:tcW w:w="487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</w:rPr>
              <w:t xml:space="preserve">WHY</w:t>
            </w: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</w:p>
        </w:tc>
      </w:tr>
      <w:tr>
        <w:trPr/>
        <w:tc>
          <w:tcPr>
            <w:tcBorders/>
            <w:tcW w:w="4870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Backend</w:t>
            </w:r>
            <w:r/>
          </w:p>
        </w:tc>
        <w:tc>
          <w:tcPr>
            <w:tcBorders/>
            <w:tcW w:w="4870" w:type="dxa"/>
            <w:textDirection w:val="lrTb"/>
            <w:noWrap w:val="false"/>
          </w:tcPr>
          <w:p>
            <w:pPr>
              <w:pStyle w:val="967"/>
              <w:numPr>
                <w:ilvl w:val="0"/>
                <w:numId w:val="12"/>
              </w:numPr>
              <w:pBdr/>
              <w:spacing/>
              <w:ind/>
              <w:rPr/>
            </w:pPr>
            <w:r>
              <w:t xml:space="preserve">No need to access it, frontend should only get what’s needed without direct access (endpoints dedicated with secrets handling)</w:t>
            </w:r>
            <w:r/>
          </w:p>
          <w:p>
            <w:pPr>
              <w:pStyle w:val="967"/>
              <w:numPr>
                <w:ilvl w:val="0"/>
                <w:numId w:val="12"/>
              </w:numPr>
              <w:pBdr/>
              <w:spacing/>
              <w:ind/>
              <w:rPr/>
            </w:pPr>
            <w:r>
              <w:rPr>
                <w:highlight w:val="none"/>
              </w:rPr>
              <w:t xml:space="preserve">Access to backend may lead to security leaks and industrial intelligence</w:t>
            </w:r>
            <w:r>
              <w:rPr>
                <w:highlight w:val="none"/>
              </w:rPr>
            </w:r>
            <w:r/>
          </w:p>
        </w:tc>
      </w:tr>
      <w:tr>
        <w:trPr/>
        <w:tc>
          <w:tcPr>
            <w:tcBorders/>
            <w:tcW w:w="4870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Databases</w:t>
            </w:r>
            <w:r/>
          </w:p>
        </w:tc>
        <w:tc>
          <w:tcPr>
            <w:tcBorders/>
            <w:tcW w:w="4870" w:type="dxa"/>
            <w:textDirection w:val="lrTb"/>
            <w:noWrap w:val="false"/>
          </w:tcPr>
          <w:p>
            <w:pPr>
              <w:pBdr/>
              <w:spacing/>
              <w:ind w:firstLine="0" w:left="0"/>
              <w:rPr/>
            </w:pPr>
            <w:r>
              <w:t xml:space="preserve">Customers data, products hidden metadata and orders details should remain private and isolated for special and dedicacted access only access</w:t>
            </w:r>
            <w:r/>
          </w:p>
        </w:tc>
      </w:tr>
    </w:tbl>
    <w:p>
      <w:pPr>
        <w:pStyle w:val="905"/>
        <w:pBdr/>
        <w:spacing/>
        <w:ind/>
        <w:jc w:val="both"/>
        <w:rPr/>
      </w:pPr>
      <w:r/>
      <w:bookmarkStart w:id="7" w:name="_Toc7"/>
      <w:r>
        <w:t xml:space="preserve">High-privilege accounts</w:t>
      </w:r>
      <w:r/>
      <w:bookmarkEnd w:id="7"/>
      <w:r/>
      <w:r/>
    </w:p>
    <w:tbl>
      <w:tblPr>
        <w:tblW w:w="0" w:type="auto"/>
        <w:tblBorders/>
        <w:tblLayout w:type="fixed"/>
        <w:tblLook w:val="04A0" w:firstRow="1" w:lastRow="0" w:firstColumn="1" w:lastColumn="0" w:noHBand="0" w:noVBand="1"/>
        <w:tblStyle w:val="778"/>
      </w:tblPr>
      <w:tblGrid>
        <w:gridCol w:w="618"/>
        <w:gridCol w:w="5785"/>
        <w:gridCol w:w="3337"/>
      </w:tblGrid>
      <w:tr>
        <w:trPr>
          <w:trHeight w:val="360"/>
        </w:trPr>
        <w:tc>
          <w:tcPr>
            <w:tcBorders/>
            <w:tcW w:w="6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</w:rPr>
              <w:t xml:space="preserve">ID</w:t>
            </w: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</w:p>
        </w:tc>
        <w:tc>
          <w:tcPr>
            <w:tcBorders/>
            <w:tcW w:w="578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</w:rPr>
              <w:t xml:space="preserve">SECURE ZONES</w:t>
            </w: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</w:p>
        </w:tc>
        <w:tc>
          <w:tcPr>
            <w:tcBorders/>
            <w:tcW w:w="333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</w:rPr>
              <w:t xml:space="preserve">WHY</w:t>
            </w: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</w:p>
        </w:tc>
      </w:tr>
      <w:tr>
        <w:trPr/>
        <w:tc>
          <w:tcPr>
            <w:tcBorders/>
            <w:tcW w:w="618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A2</w:t>
            </w:r>
            <w:r/>
          </w:p>
        </w:tc>
        <w:tc>
          <w:tcPr>
            <w:tcBorders/>
            <w:tcW w:w="5785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Local administrators</w:t>
            </w:r>
            <w:r/>
          </w:p>
        </w:tc>
        <w:tc>
          <w:tcPr>
            <w:tcBorders/>
            <w:tcW w:w="3337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Admin access on backend, databases</w:t>
            </w:r>
            <w:r/>
          </w:p>
        </w:tc>
      </w:tr>
      <w:tr>
        <w:trPr/>
        <w:tc>
          <w:tcPr>
            <w:tcBorders/>
            <w:tcW w:w="618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A4</w:t>
            </w:r>
            <w:r/>
          </w:p>
        </w:tc>
        <w:tc>
          <w:tcPr>
            <w:tcBorders/>
            <w:tcW w:w="5785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(</w:t>
            </w:r>
            <w:r>
              <w:rPr>
                <w:i/>
                <w:iCs/>
              </w:rPr>
              <w:t xml:space="preserve">IN CASE OF K8S CLUSTER FOR INSTANCE</w:t>
            </w:r>
            <w:r>
              <w:t xml:space="preserve">) Crons &amp; Workers</w:t>
            </w:r>
            <w:r/>
          </w:p>
        </w:tc>
        <w:tc>
          <w:tcPr>
            <w:tcBorders/>
            <w:tcW w:w="3337" w:type="dxa"/>
            <w:textDirection w:val="lrTb"/>
            <w:noWrap w:val="false"/>
          </w:tcPr>
          <w:p>
            <w:pPr>
              <w:pBdr/>
              <w:spacing/>
              <w:ind w:firstLine="0" w:left="0"/>
              <w:rPr/>
            </w:pPr>
            <w:r>
              <w:t xml:space="preserve">Root-access level of jobs and POF capacities</w:t>
            </w:r>
            <w:r/>
          </w:p>
        </w:tc>
      </w:tr>
    </w:tbl>
    <w:p>
      <w:pPr>
        <w:pStyle w:val="905"/>
        <w:pBdr/>
        <w:spacing/>
        <w:ind/>
        <w:jc w:val="both"/>
        <w:rPr/>
      </w:pPr>
      <w:r/>
      <w:bookmarkStart w:id="8" w:name="_Toc8"/>
      <w:r>
        <w:t xml:space="preserve">Critical data bottlenecks</w:t>
      </w:r>
      <w:r/>
      <w:bookmarkEnd w:id="8"/>
      <w:r/>
      <w:r/>
    </w:p>
    <w:p>
      <w:pPr>
        <w:pBdr/>
        <w:spacing/>
        <w:ind/>
        <w:rPr>
          <w:highlight w:val="none"/>
        </w:rPr>
      </w:pPr>
      <w:r>
        <w:t xml:space="preserve">In case of compromise of any asset in the pipeline, the business as a whole may be impacted. So far, here are the actors which could lead to business disruption if poisoned :</w:t>
      </w:r>
      <w:r>
        <w:rPr>
          <w:highlight w:val="none"/>
        </w:rPr>
      </w:r>
    </w:p>
    <w:tbl>
      <w:tblPr>
        <w:tblW w:w="0" w:type="auto"/>
        <w:tblBorders/>
        <w:tblLayout w:type="fixed"/>
        <w:tblLook w:val="04A0" w:firstRow="1" w:lastRow="0" w:firstColumn="1" w:lastColumn="0" w:noHBand="0" w:noVBand="1"/>
        <w:tblStyle w:val="778"/>
      </w:tblPr>
      <w:tblGrid>
        <w:gridCol w:w="2460"/>
        <w:gridCol w:w="7229"/>
      </w:tblGrid>
      <w:tr>
        <w:trPr>
          <w:trHeight w:val="338"/>
        </w:trPr>
        <w:tc>
          <w:tcPr>
            <w:tcBorders/>
            <w:tcW w:w="2460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</w:rPr>
              <w:t xml:space="preserve">ASSET</w:t>
            </w: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</w:p>
        </w:tc>
        <w:tc>
          <w:tcPr>
            <w:tcBorders/>
            <w:tcW w:w="722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</w:rPr>
              <w:t xml:space="preserve">CONSEQUENCES</w:t>
            </w: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</w:p>
        </w:tc>
      </w:tr>
      <w:tr>
        <w:trPr/>
        <w:tc>
          <w:tcPr>
            <w:tcBorders/>
            <w:tcW w:w="2460" w:type="dxa"/>
            <w:textDirection w:val="lrTb"/>
            <w:noWrap w:val="false"/>
          </w:tcPr>
          <w:p>
            <w:pPr>
              <w:pBdr/>
              <w:spacing/>
              <w:ind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Client data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/>
            <w:tcW w:w="7229" w:type="dxa"/>
            <w:textDirection w:val="lrTb"/>
            <w:noWrap w:val="false"/>
          </w:tcPr>
          <w:p>
            <w:pPr>
              <w:pBdr/>
              <w:spacing/>
              <w:ind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Loss of reputation : business volume shrinking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rPr/>
        <w:tc>
          <w:tcPr>
            <w:tcBorders/>
            <w:tcW w:w="2460" w:type="dxa"/>
            <w:textDirection w:val="lrTb"/>
            <w:noWrap w:val="false"/>
          </w:tcPr>
          <w:p>
            <w:pPr>
              <w:pBdr/>
              <w:spacing/>
              <w:ind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Details of order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/>
            <w:tcW w:w="7229" w:type="dxa"/>
            <w:textDirection w:val="lrTb"/>
            <w:noWrap w:val="false"/>
          </w:tcPr>
          <w:p>
            <w:pPr>
              <w:pBdr/>
              <w:spacing/>
              <w:ind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Phishing material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rPr/>
        <w:tc>
          <w:tcPr>
            <w:tcBorders/>
            <w:tcW w:w="2460" w:type="dxa"/>
            <w:textDirection w:val="lrTb"/>
            <w:noWrap w:val="false"/>
          </w:tcPr>
          <w:p>
            <w:pPr>
              <w:pBdr/>
              <w:spacing/>
              <w:ind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Authentification tokens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/>
            <w:tcW w:w="7229" w:type="dxa"/>
            <w:textDirection w:val="lrTb"/>
            <w:noWrap w:val="false"/>
          </w:tcPr>
          <w:p>
            <w:pPr>
              <w:pBdr/>
              <w:spacing/>
              <w:ind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May cause impersonnation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rPr/>
        <w:tc>
          <w:tcPr>
            <w:tcBorders/>
            <w:tcW w:w="2460" w:type="dxa"/>
            <w:textDirection w:val="lrTb"/>
            <w:noWrap w:val="false"/>
          </w:tcPr>
          <w:p>
            <w:pPr>
              <w:pBdr/>
              <w:spacing/>
              <w:ind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Payment data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/>
            <w:tcW w:w="7229" w:type="dxa"/>
            <w:textDirection w:val="lrTb"/>
            <w:noWrap w:val="false"/>
          </w:tcPr>
          <w:p>
            <w:pPr>
              <w:pBdr/>
              <w:spacing/>
              <w:ind/>
              <w:jc w:val="left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  <w:t xml:space="preserve">Loss of reputation, Phishing material, Scaming schemes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rPr/>
        <w:tc>
          <w:tcPr>
            <w:tcBorders/>
            <w:tcW w:w="2460" w:type="dxa"/>
            <w:textDirection w:val="lrTb"/>
            <w:noWrap w:val="false"/>
          </w:tcPr>
          <w:p>
            <w:pPr>
              <w:pBdr/>
              <w:spacing/>
              <w:ind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Keys and secrets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/>
            <w:tcW w:w="7229" w:type="dxa"/>
            <w:textDirection w:val="lrTb"/>
            <w:noWrap w:val="false"/>
          </w:tcPr>
          <w:p>
            <w:pPr>
              <w:pBdr/>
              <w:spacing/>
              <w:ind/>
              <w:jc w:val="left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  <w:t xml:space="preserve">Requests overflow, API usurpation, Denial Of Service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rPr/>
        <w:tc>
          <w:tcPr>
            <w:tcBorders/>
            <w:tcW w:w="2460" w:type="dxa"/>
            <w:textDirection w:val="lrTb"/>
            <w:noWrap w:val="false"/>
          </w:tcPr>
          <w:p>
            <w:pPr>
              <w:pBdr/>
              <w:spacing/>
              <w:ind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Databases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/>
            <w:tcW w:w="7229" w:type="dxa"/>
            <w:textDirection w:val="lrTb"/>
            <w:noWrap w:val="false"/>
          </w:tcPr>
          <w:p>
            <w:pPr>
              <w:pBdr/>
              <w:spacing/>
              <w:ind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Customers data loss, Products data loss, Orders details loss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rPr/>
        <w:tc>
          <w:tcPr>
            <w:tcBorders/>
            <w:tcW w:w="2460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Auth API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/>
            <w:tcW w:w="722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May cause impersonnation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</w:tbl>
    <w:p>
      <w:pPr>
        <w:pStyle w:val="905"/>
        <w:pBdr/>
        <w:spacing/>
        <w:ind/>
        <w:jc w:val="both"/>
        <w:rPr>
          <w:highlight w:val="none"/>
        </w:rPr>
      </w:pPr>
      <w:r/>
      <w:bookmarkStart w:id="9" w:name="_Toc9"/>
      <w:r/>
      <w:r>
        <w:t xml:space="preserve">High-sensitivity assets</w:t>
      </w:r>
      <w:r/>
      <w:bookmarkEnd w:id="9"/>
      <w:r/>
      <w:r>
        <w:rPr>
          <w:highlight w:val="none"/>
        </w:rPr>
      </w:r>
    </w:p>
    <w:p>
      <w:pPr>
        <w:pBdr/>
        <w:spacing/>
        <w:ind/>
        <w:rPr/>
      </w:pPr>
      <w:r>
        <w:t xml:space="preserve">Some assets never should have more access than absolutely needed for the production and exploitation pipelines. Zero Trust policy should include :</w:t>
      </w:r>
      <w:r/>
    </w:p>
    <w:tbl>
      <w:tblPr>
        <w:tblW w:w="0" w:type="auto"/>
        <w:tblBorders/>
        <w:tblLayout w:type="fixed"/>
        <w:tblLook w:val="04A0" w:firstRow="1" w:lastRow="0" w:firstColumn="1" w:lastColumn="0" w:noHBand="0" w:noVBand="1"/>
        <w:tblStyle w:val="778"/>
      </w:tblPr>
      <w:tblGrid>
        <w:gridCol w:w="3311"/>
        <w:gridCol w:w="6378"/>
      </w:tblGrid>
      <w:tr>
        <w:trPr>
          <w:trHeight w:val="338"/>
        </w:trPr>
        <w:tc>
          <w:tcPr>
            <w:tcBorders/>
            <w:tcW w:w="3311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</w:rPr>
              <w:t xml:space="preserve">ASSETS TO NERF</w:t>
            </w: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</w:p>
        </w:tc>
        <w:tc>
          <w:tcPr>
            <w:tcBorders/>
            <w:tcW w:w="6378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</w:rPr>
              <w:t xml:space="preserve">AVOIDED CONSEQUENCES</w:t>
            </w: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</w:p>
        </w:tc>
      </w:tr>
      <w:tr>
        <w:trPr/>
        <w:tc>
          <w:tcPr>
            <w:tcBorders/>
            <w:tcW w:w="3311" w:type="dxa"/>
            <w:textDirection w:val="lrTb"/>
            <w:noWrap w:val="false"/>
          </w:tcPr>
          <w:p>
            <w:pPr>
              <w:pBdr/>
              <w:spacing/>
              <w:ind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Databases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/>
            <w:tcW w:w="6378" w:type="dxa"/>
            <w:textDirection w:val="lrTb"/>
            <w:noWrap w:val="false"/>
          </w:tcPr>
          <w:p>
            <w:pPr>
              <w:pBdr/>
              <w:spacing/>
              <w:ind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Avoiding wide Read &amp; Write (and defining Read-Only if no Write is needed) on unecessary and/or unrelated resources avoid harmful manipulations, either internal or external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rPr/>
        <w:tc>
          <w:tcPr>
            <w:tcBorders/>
            <w:tcW w:w="3311" w:type="dxa"/>
            <w:textDirection w:val="lrTb"/>
            <w:noWrap w:val="false"/>
          </w:tcPr>
          <w:p>
            <w:pPr>
              <w:pBdr/>
              <w:spacing/>
              <w:ind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Internal services (cron, jobs)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/>
            <w:tcW w:w="6378" w:type="dxa"/>
            <w:textDirection w:val="lrTb"/>
            <w:noWrap w:val="false"/>
          </w:tcPr>
          <w:p>
            <w:pPr>
              <w:pBdr/>
              <w:spacing/>
              <w:ind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According the correct rights to jobs avoids giving root-level access to entire stack in case of usurpation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rPr/>
        <w:tc>
          <w:tcPr>
            <w:tcBorders/>
            <w:tcW w:w="3311" w:type="dxa"/>
            <w:textDirection w:val="lrTb"/>
            <w:noWrap w:val="false"/>
          </w:tcPr>
          <w:p>
            <w:pPr>
              <w:pBdr/>
              <w:spacing/>
              <w:ind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API (one for each service, no monolithic API)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/>
            <w:tcW w:w="6378" w:type="dxa"/>
            <w:textDirection w:val="lrTb"/>
            <w:noWrap w:val="false"/>
          </w:tcPr>
          <w:p>
            <w:pPr>
              <w:pBdr/>
              <w:spacing/>
              <w:ind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Each API for it’s token generate conteneurization and thus better control on data flows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rPr/>
        <w:tc>
          <w:tcPr>
            <w:tcBorders/>
            <w:tcW w:w="3311" w:type="dxa"/>
            <w:textDirection w:val="lrTb"/>
            <w:noWrap w:val="false"/>
          </w:tcPr>
          <w:p>
            <w:pPr>
              <w:pBdr/>
              <w:spacing/>
              <w:ind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Contractors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/>
            <w:tcW w:w="6378" w:type="dxa"/>
            <w:textDirection w:val="lrTb"/>
            <w:noWrap w:val="false"/>
          </w:tcPr>
          <w:p>
            <w:pPr>
              <w:pBdr/>
              <w:spacing/>
              <w:ind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No extra permissions for third-parties external to avoid unwanted and untrackable behaviors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</w:tbl>
    <w:p>
      <w:pPr>
        <w:pStyle w:val="905"/>
        <w:pBdr/>
        <w:spacing/>
        <w:ind/>
        <w:jc w:val="both"/>
        <w:rPr/>
      </w:pPr>
      <w:r/>
      <w:bookmarkStart w:id="10" w:name="_Toc10"/>
      <w:r>
        <w:t xml:space="preserve">Exposition of an asset when combined</w:t>
      </w:r>
      <w:r/>
      <w:bookmarkEnd w:id="10"/>
      <w:r/>
      <w:r/>
    </w:p>
    <w:tbl>
      <w:tblPr>
        <w:tblW w:w="0" w:type="auto"/>
        <w:tblBorders/>
        <w:tblLayout w:type="fixed"/>
        <w:tblLook w:val="04A0" w:firstRow="1" w:lastRow="0" w:firstColumn="1" w:lastColumn="0" w:noHBand="0" w:noVBand="1"/>
        <w:tblStyle w:val="778"/>
      </w:tblPr>
      <w:tblGrid>
        <w:gridCol w:w="3311"/>
        <w:gridCol w:w="2834"/>
        <w:gridCol w:w="3543"/>
      </w:tblGrid>
      <w:tr>
        <w:trPr>
          <w:trHeight w:val="338"/>
        </w:trPr>
        <w:tc>
          <w:tcPr>
            <w:tcBorders/>
            <w:tcW w:w="3311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</w:rPr>
              <w:t xml:space="preserve">ASSETS...</w:t>
            </w:r>
            <w:r>
              <w:rPr>
                <w:b/>
                <w:bCs/>
                <w:highlight w:val="none"/>
              </w:rPr>
            </w:r>
          </w:p>
        </w:tc>
        <w:tc>
          <w:tcPr>
            <w:tcBorders/>
            <w:tcW w:w="2834" w:type="dxa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</w:rPr>
              <w:t xml:space="preserve">...COMBINED WITH...</w:t>
            </w:r>
            <w:r>
              <w:rPr>
                <w:b/>
                <w:bCs/>
                <w:highlight w:val="none"/>
              </w:rPr>
            </w:r>
          </w:p>
        </w:tc>
        <w:tc>
          <w:tcPr>
            <w:tcBorders/>
            <w:tcW w:w="3543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</w:rPr>
              <w:t xml:space="preserve">...LEADS TO</w:t>
            </w:r>
            <w:r>
              <w:rPr>
                <w:b/>
                <w:bCs/>
                <w:highlight w:val="none"/>
              </w:rPr>
            </w:r>
          </w:p>
        </w:tc>
      </w:tr>
      <w:tr>
        <w:trPr/>
        <w:tc>
          <w:tcPr>
            <w:tcBorders/>
            <w:tcW w:w="3311" w:type="dxa"/>
            <w:textDirection w:val="lrTb"/>
            <w:noWrap w:val="false"/>
          </w:tcPr>
          <w:p>
            <w:pPr>
              <w:pBdr/>
              <w:spacing/>
              <w:ind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Payment API</w:t>
            </w:r>
            <w:r>
              <w:rPr>
                <w:highlight w:val="none"/>
              </w:rPr>
            </w:r>
          </w:p>
        </w:tc>
        <w:tc>
          <w:tcPr>
            <w:tcBorders/>
            <w:tcW w:w="2834" w:type="dxa"/>
            <w:textDirection w:val="lrTb"/>
            <w:noWrap w:val="false"/>
          </w:tcPr>
          <w:p>
            <w:pPr>
              <w:pBdr/>
              <w:spacing/>
              <w:ind/>
              <w:rPr>
                <w:highlight w:val="none"/>
              </w:rPr>
            </w:pPr>
            <w:r>
              <w:rPr>
                <w:highlight w:val="none"/>
              </w:rPr>
              <w:t xml:space="preserve">Payment data</w:t>
            </w:r>
            <w:r>
              <w:rPr>
                <w:highlight w:val="none"/>
              </w:rPr>
            </w:r>
          </w:p>
        </w:tc>
        <w:tc>
          <w:tcPr>
            <w:tcBorders/>
            <w:tcW w:w="3543" w:type="dxa"/>
            <w:textDirection w:val="lrTb"/>
            <w:noWrap w:val="false"/>
          </w:tcPr>
          <w:p>
            <w:pPr>
              <w:pBdr/>
              <w:spacing/>
              <w:ind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Fraud and financial prejudices</w:t>
            </w:r>
            <w:r>
              <w:rPr>
                <w:highlight w:val="none"/>
              </w:rPr>
            </w:r>
          </w:p>
        </w:tc>
      </w:tr>
    </w:tbl>
    <w:p>
      <w:pPr>
        <w:pStyle w:val="905"/>
        <w:pBdr/>
        <w:spacing/>
        <w:ind/>
        <w:jc w:val="both"/>
        <w:rPr/>
      </w:pPr>
      <w:r/>
      <w:bookmarkStart w:id="11" w:name="_Toc11"/>
      <w:r/>
      <w:r>
        <w:t xml:space="preserve">Prediction of failures and vulnerabilities (DRP)</w:t>
      </w:r>
      <w:r/>
      <w:bookmarkEnd w:id="11"/>
      <w:r/>
      <w:r/>
    </w:p>
    <w:p>
      <w:pPr>
        <w:pBdr/>
        <w:shd w:val="nil" w:color="auto"/>
        <w:spacing/>
        <w:ind w:firstLine="0" w:left="0"/>
        <w:rPr/>
      </w:pPr>
      <w:r>
        <w:rPr>
          <w:highlight w:val="none"/>
        </w:rPr>
      </w:r>
      <w:r>
        <w:rPr>
          <w:highlight w:val="none"/>
        </w:rPr>
      </w:r>
      <w:r/>
    </w:p>
    <w:p>
      <w:pPr>
        <w:pBdr/>
        <w:shd w:val="nil"/>
        <w:spacing/>
        <w:ind/>
        <w:rPr/>
      </w:pPr>
      <w:r>
        <w:rPr>
          <w:highlight w:val="none"/>
        </w:rPr>
        <w:br w:type="page" w:clear="all"/>
      </w:r>
      <w:r>
        <w:rPr>
          <w:highlight w:val="none"/>
        </w:rPr>
      </w:r>
      <w:r>
        <w:rPr>
          <w:highlight w:val="none"/>
        </w:rPr>
      </w:r>
    </w:p>
    <w:p>
      <w:pPr>
        <w:pStyle w:val="905"/>
        <w:pBdr/>
        <w:spacing/>
        <w:ind/>
        <w:jc w:val="both"/>
        <w:rPr>
          <w:highlight w:val="none"/>
        </w:rPr>
      </w:pPr>
      <w:r/>
      <w:bookmarkStart w:id="12" w:name="_Toc12"/>
      <w:r/>
      <w:r>
        <w:t xml:space="preserve">Report conclusions</w:t>
      </w:r>
      <w:r/>
      <w:bookmarkEnd w:id="12"/>
      <w:r/>
      <w:r/>
    </w:p>
    <w:p>
      <w:pPr>
        <w:pStyle w:val="906"/>
        <w:pBdr/>
        <w:spacing/>
        <w:ind/>
        <w:rPr/>
      </w:pPr>
      <w:r>
        <w:t xml:space="preserve">Additions</w:t>
      </w:r>
      <w:r/>
    </w:p>
    <w:p>
      <w:pPr>
        <w:pStyle w:val="967"/>
        <w:numPr>
          <w:ilvl w:val="0"/>
          <w:numId w:val="21"/>
        </w:numPr>
        <w:pBdr/>
        <w:spacing/>
        <w:ind/>
        <w:rPr/>
      </w:pPr>
      <w:r>
        <w:t xml:space="preserve">Load-balancer (for regionalisation access)</w:t>
      </w:r>
      <w:r/>
    </w:p>
    <w:p>
      <w:pPr>
        <w:pStyle w:val="967"/>
        <w:numPr>
          <w:ilvl w:val="0"/>
          <w:numId w:val="21"/>
        </w:numPr>
        <w:pBdr/>
        <w:spacing/>
        <w:ind/>
        <w:rPr/>
      </w:pPr>
      <w:r>
        <w:rPr>
          <w:highlight w:val="none"/>
        </w:rPr>
        <w:t xml:space="preserve">MFA for clients</w:t>
      </w:r>
      <w:r/>
    </w:p>
    <w:p>
      <w:pPr>
        <w:pStyle w:val="967"/>
        <w:numPr>
          <w:ilvl w:val="0"/>
          <w:numId w:val="21"/>
        </w:numPr>
        <w:pBdr/>
        <w:spacing/>
        <w:ind/>
        <w:rPr/>
      </w:pPr>
      <w:r>
        <w:rPr>
          <w:highlight w:val="none"/>
        </w:rPr>
        <w:t xml:space="preserve">MFA for internal products</w:t>
      </w:r>
      <w:r/>
    </w:p>
    <w:p>
      <w:pPr>
        <w:pStyle w:val="967"/>
        <w:numPr>
          <w:ilvl w:val="0"/>
          <w:numId w:val="21"/>
        </w:numPr>
        <w:pBdr/>
        <w:spacing/>
        <w:ind/>
        <w:rPr/>
      </w:pPr>
      <w:r>
        <w:rPr>
          <w:highlight w:val="none"/>
        </w:rPr>
        <w:t xml:space="preserve">Backup plan</w:t>
      </w:r>
      <w:r/>
    </w:p>
    <w:p>
      <w:pPr>
        <w:pStyle w:val="967"/>
        <w:numPr>
          <w:ilvl w:val="0"/>
          <w:numId w:val="21"/>
        </w:numPr>
        <w:pBdr/>
        <w:spacing/>
        <w:ind/>
        <w:rPr/>
      </w:pPr>
      <w:r>
        <w:rPr>
          <w:highlight w:val="none"/>
        </w:rPr>
        <w:t xml:space="preserve">Zero-Trust by design</w:t>
      </w:r>
      <w:r/>
    </w:p>
    <w:p>
      <w:pPr>
        <w:pStyle w:val="967"/>
        <w:numPr>
          <w:ilvl w:val="0"/>
          <w:numId w:val="21"/>
        </w:numPr>
        <w:pBdr/>
        <w:spacing/>
        <w:ind/>
        <w:rPr/>
      </w:pPr>
      <w:r>
        <w:rPr>
          <w:highlight w:val="none"/>
        </w:rPr>
        <w:t xml:space="preserve">Resources monitoring</w:t>
      </w:r>
      <w:r/>
    </w:p>
    <w:p>
      <w:pPr>
        <w:pStyle w:val="967"/>
        <w:numPr>
          <w:ilvl w:val="0"/>
          <w:numId w:val="21"/>
        </w:numPr>
        <w:pBdr/>
        <w:spacing/>
        <w:ind/>
        <w:rPr/>
      </w:pPr>
      <w:r>
        <w:rPr>
          <w:highlight w:val="none"/>
        </w:rPr>
        <w:t xml:space="preserve">Email analyser (like Mail-In-Black for internal)</w:t>
      </w:r>
      <w:r/>
    </w:p>
    <w:p>
      <w:pPr>
        <w:pStyle w:val="967"/>
        <w:numPr>
          <w:ilvl w:val="0"/>
          <w:numId w:val="21"/>
        </w:numPr>
        <w:pBdr/>
        <w:spacing/>
        <w:ind/>
        <w:rPr/>
      </w:pPr>
      <w:r>
        <w:rPr>
          <w:highlight w:val="none"/>
        </w:rPr>
        <w:t xml:space="preserve">Cold storage solution</w:t>
      </w:r>
      <w:r/>
    </w:p>
    <w:p>
      <w:pPr>
        <w:pStyle w:val="906"/>
        <w:pBdr/>
        <w:spacing/>
        <w:ind/>
        <w:rPr/>
      </w:pPr>
      <w:r>
        <w:t xml:space="preserve">Changes</w:t>
      </w:r>
      <w:r/>
    </w:p>
    <w:p>
      <w:pPr>
        <w:pStyle w:val="967"/>
        <w:numPr>
          <w:ilvl w:val="0"/>
          <w:numId w:val="22"/>
        </w:numPr>
        <w:pBdr/>
        <w:spacing/>
        <w:ind/>
        <w:rPr/>
      </w:pPr>
      <w:r>
        <w:t xml:space="preserve">(if API are external)</w:t>
      </w:r>
      <w:r/>
    </w:p>
    <w:p>
      <w:pPr>
        <w:pStyle w:val="967"/>
        <w:numPr>
          <w:ilvl w:val="0"/>
          <w:numId w:val="22"/>
        </w:numPr>
        <w:pBdr/>
        <w:spacing/>
        <w:ind/>
        <w:rPr/>
      </w:pPr>
      <w:r>
        <w:rPr>
          <w:highlight w:val="none"/>
        </w:rPr>
        <w:t xml:space="preserve">(if API are internal)</w:t>
      </w:r>
      <w:r/>
    </w:p>
    <w:p>
      <w:pPr>
        <w:pStyle w:val="967"/>
        <w:numPr>
          <w:ilvl w:val="0"/>
          <w:numId w:val="22"/>
        </w:numPr>
        <w:pBdr/>
        <w:spacing/>
        <w:ind/>
        <w:rPr/>
      </w:pPr>
      <w:r>
        <w:rPr>
          <w:highlight w:val="none"/>
        </w:rPr>
        <w:t xml:space="preserve">Token expiration</w:t>
      </w:r>
      <w:r/>
    </w:p>
    <w:p>
      <w:pPr>
        <w:pStyle w:val="967"/>
        <w:numPr>
          <w:ilvl w:val="0"/>
          <w:numId w:val="22"/>
        </w:numPr>
        <w:pBdr/>
        <w:spacing/>
        <w:ind/>
        <w:rPr/>
      </w:pPr>
      <w:r>
        <w:rPr>
          <w:highlight w:val="none"/>
        </w:rPr>
        <w:t xml:space="preserve">Internal Passwords expiration</w:t>
      </w:r>
      <w:r/>
    </w:p>
    <w:p>
      <w:pPr>
        <w:pStyle w:val="967"/>
        <w:numPr>
          <w:ilvl w:val="0"/>
          <w:numId w:val="22"/>
        </w:numPr>
        <w:pBdr/>
        <w:spacing/>
        <w:ind/>
        <w:rPr/>
      </w:pPr>
      <w:r>
        <w:rPr>
          <w:highlight w:val="none"/>
        </w:rPr>
        <w:t xml:space="preserve">Hashing data in all flows, including non-sensible ones</w:t>
      </w:r>
      <w:r/>
    </w:p>
    <w:p>
      <w:pPr>
        <w:pStyle w:val="906"/>
        <w:pBdr/>
        <w:spacing/>
        <w:ind/>
        <w:rPr/>
      </w:pPr>
      <w:r>
        <w:t xml:space="preserve">Deletions</w:t>
      </w:r>
      <w:r/>
    </w:p>
    <w:p>
      <w:pPr>
        <w:pStyle w:val="967"/>
        <w:numPr>
          <w:ilvl w:val="0"/>
          <w:numId w:val="23"/>
        </w:numPr>
        <w:pBdr/>
        <w:spacing/>
        <w:ind/>
        <w:rPr/>
      </w:pPr>
      <w:r>
        <w:t xml:space="preserve">DMZ (no real use)</w:t>
      </w:r>
      <w:r/>
    </w:p>
    <w:p>
      <w:pPr>
        <w:pBdr/>
        <w:shd w:val="nil" w:color="auto"/>
        <w:spacing/>
        <w:ind/>
        <w:rPr>
          <w:highlight w:val="none"/>
        </w:rPr>
      </w:pPr>
      <w:r>
        <w:rPr>
          <w:highlight w:val="none"/>
        </w:rPr>
        <w:br w:type="page" w:clear="all"/>
      </w:r>
      <w:r>
        <w:rPr>
          <w:highlight w:val="none"/>
        </w:rPr>
      </w:r>
      <w:r>
        <w:rPr>
          <w:highlight w:val="none"/>
        </w:rPr>
      </w:r>
    </w:p>
    <w:p>
      <w:pPr>
        <w:pStyle w:val="905"/>
        <w:pBdr/>
        <w:spacing/>
        <w:ind/>
        <w:rPr>
          <w:highlight w:val="none"/>
        </w:rPr>
      </w:pPr>
      <w:r/>
      <w:bookmarkStart w:id="13" w:name="_Toc13"/>
      <w:r>
        <w:t xml:space="preserve">STRIDE</w:t>
      </w:r>
      <w:r>
        <w:t xml:space="preserve"> analysis</w:t>
      </w:r>
      <w:r/>
      <w:bookmarkEnd w:id="13"/>
      <w:r/>
      <w:r>
        <w:rPr>
          <w:highlight w:val="none"/>
        </w:rPr>
      </w:r>
    </w:p>
    <w:tbl>
      <w:tblPr>
        <w:tblW w:w="0" w:type="auto"/>
        <w:tblBorders/>
        <w:tblLayout w:type="fixed"/>
        <w:tblLook w:val="04A0" w:firstRow="1" w:lastRow="0" w:firstColumn="1" w:lastColumn="0" w:noHBand="0" w:noVBand="1"/>
        <w:tblStyle w:val="778"/>
      </w:tblPr>
      <w:tblGrid>
        <w:gridCol w:w="618"/>
        <w:gridCol w:w="3260"/>
        <w:gridCol w:w="969"/>
        <w:gridCol w:w="969"/>
        <w:gridCol w:w="969"/>
        <w:gridCol w:w="969"/>
        <w:gridCol w:w="969"/>
        <w:gridCol w:w="969"/>
      </w:tblGrid>
      <w:tr>
        <w:trPr/>
        <w:tc>
          <w:tcPr>
            <w:tcBorders/>
            <w:tcW w:w="6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ID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ASSET / FLOW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/>
            <w:tcW w:w="96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S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/>
            <w:tcW w:w="96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T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/>
            <w:tcW w:w="96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R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/>
            <w:tcW w:w="96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I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/>
            <w:tcW w:w="96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D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/>
            <w:tcW w:w="96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E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rPr/>
        <w:tc>
          <w:tcPr>
            <w:tcBorders/>
            <w:tcW w:w="6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D1</w:t>
            </w:r>
            <w:r/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Customer data</w:t>
            </w:r>
            <w:r/>
          </w:p>
        </w:tc>
        <w:tc>
          <w:tcPr>
            <w:tcBorders/>
            <w:tcW w:w="96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X</w:t>
            </w:r>
            <w:r/>
          </w:p>
        </w:tc>
        <w:tc>
          <w:tcPr>
            <w:tcBorders/>
            <w:tcW w:w="96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96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96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X</w:t>
            </w:r>
            <w:r/>
          </w:p>
        </w:tc>
        <w:tc>
          <w:tcPr>
            <w:tcBorders/>
            <w:tcW w:w="96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96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</w:tr>
      <w:tr>
        <w:trPr/>
        <w:tc>
          <w:tcPr>
            <w:tcBorders/>
            <w:tcW w:w="6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D2</w:t>
            </w:r>
            <w:r/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Orders data</w:t>
            </w:r>
            <w:r/>
          </w:p>
        </w:tc>
        <w:tc>
          <w:tcPr>
            <w:tcBorders/>
            <w:tcW w:w="96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X</w:t>
            </w:r>
            <w:r/>
          </w:p>
        </w:tc>
        <w:tc>
          <w:tcPr>
            <w:tcBorders/>
            <w:tcW w:w="96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96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96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X</w:t>
            </w:r>
            <w:r/>
          </w:p>
        </w:tc>
        <w:tc>
          <w:tcPr>
            <w:tcBorders/>
            <w:tcW w:w="96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96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</w:tr>
      <w:tr>
        <w:trPr/>
        <w:tc>
          <w:tcPr>
            <w:tcBorders/>
            <w:tcW w:w="6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D3</w:t>
            </w:r>
            <w:r/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Products data</w:t>
            </w:r>
            <w:r/>
          </w:p>
        </w:tc>
        <w:tc>
          <w:tcPr>
            <w:tcBorders/>
            <w:tcW w:w="96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96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96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96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96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96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</w:tr>
      <w:tr>
        <w:trPr/>
        <w:tc>
          <w:tcPr>
            <w:tcBorders/>
            <w:tcW w:w="6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D4</w:t>
            </w:r>
            <w:r/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Auth tokens</w:t>
            </w:r>
            <w:r/>
          </w:p>
        </w:tc>
        <w:tc>
          <w:tcPr>
            <w:tcBorders/>
            <w:tcW w:w="96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X</w:t>
            </w:r>
            <w:r/>
          </w:p>
        </w:tc>
        <w:tc>
          <w:tcPr>
            <w:tcBorders/>
            <w:tcW w:w="96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X</w:t>
            </w:r>
            <w:r/>
          </w:p>
        </w:tc>
        <w:tc>
          <w:tcPr>
            <w:tcBorders/>
            <w:tcW w:w="96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96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X</w:t>
            </w:r>
            <w:r/>
          </w:p>
        </w:tc>
        <w:tc>
          <w:tcPr>
            <w:tcBorders/>
            <w:tcW w:w="96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96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</w:tr>
      <w:tr>
        <w:trPr/>
        <w:tc>
          <w:tcPr>
            <w:tcBorders/>
            <w:tcW w:w="6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D5</w:t>
            </w:r>
            <w:r/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App logs</w:t>
            </w:r>
            <w:r/>
          </w:p>
        </w:tc>
        <w:tc>
          <w:tcPr>
            <w:tcBorders/>
            <w:tcW w:w="96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96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96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96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X</w:t>
            </w:r>
            <w:r/>
          </w:p>
        </w:tc>
        <w:tc>
          <w:tcPr>
            <w:tcBorders/>
            <w:tcW w:w="96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96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</w:tr>
      <w:tr>
        <w:trPr/>
        <w:tc>
          <w:tcPr>
            <w:tcBorders/>
            <w:tcW w:w="6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D6</w:t>
            </w:r>
            <w:r/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Payment data</w:t>
            </w:r>
            <w:r/>
          </w:p>
        </w:tc>
        <w:tc>
          <w:tcPr>
            <w:tcBorders/>
            <w:tcW w:w="96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X</w:t>
            </w:r>
            <w:r/>
          </w:p>
        </w:tc>
        <w:tc>
          <w:tcPr>
            <w:tcBorders/>
            <w:tcW w:w="96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96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96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X</w:t>
            </w:r>
            <w:r/>
          </w:p>
        </w:tc>
        <w:tc>
          <w:tcPr>
            <w:tcBorders/>
            <w:tcW w:w="96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96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</w:tr>
      <w:tr>
        <w:trPr/>
        <w:tc>
          <w:tcPr>
            <w:tcBorders/>
            <w:tcW w:w="6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D7</w:t>
            </w:r>
            <w:r/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Secrets &amp; Keys</w:t>
            </w:r>
            <w:r/>
          </w:p>
        </w:tc>
        <w:tc>
          <w:tcPr>
            <w:tcBorders/>
            <w:tcW w:w="96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96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X</w:t>
            </w:r>
            <w:r/>
          </w:p>
        </w:tc>
        <w:tc>
          <w:tcPr>
            <w:tcBorders/>
            <w:tcW w:w="96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X</w:t>
            </w:r>
            <w:r/>
          </w:p>
        </w:tc>
        <w:tc>
          <w:tcPr>
            <w:tcBorders/>
            <w:tcW w:w="96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X</w:t>
            </w:r>
            <w:r/>
          </w:p>
        </w:tc>
        <w:tc>
          <w:tcPr>
            <w:tcBorders/>
            <w:tcW w:w="96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X</w:t>
            </w:r>
            <w:r/>
          </w:p>
        </w:tc>
        <w:tc>
          <w:tcPr>
            <w:tcBorders/>
            <w:tcW w:w="96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X</w:t>
            </w:r>
            <w:r/>
          </w:p>
        </w:tc>
      </w:tr>
      <w:tr>
        <w:trPr/>
        <w:tc>
          <w:tcPr>
            <w:tcBorders/>
            <w:tcW w:w="6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C1</w:t>
            </w:r>
            <w:r/>
          </w:p>
        </w:tc>
        <w:tc>
          <w:tcPr>
            <w:tcBorders/>
            <w:tcW w:w="3260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Frontend</w:t>
            </w:r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X</w:t>
            </w:r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</w:tr>
      <w:tr>
        <w:trPr/>
        <w:tc>
          <w:tcPr>
            <w:tcBorders/>
            <w:tcW w:w="6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C2</w:t>
            </w:r>
            <w:r/>
          </w:p>
        </w:tc>
        <w:tc>
          <w:tcPr>
            <w:tcBorders/>
            <w:tcW w:w="3260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Backend</w:t>
            </w:r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X</w:t>
            </w:r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X</w:t>
            </w:r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X</w:t>
            </w:r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X</w:t>
            </w:r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X</w:t>
            </w:r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X</w:t>
            </w:r>
            <w:r/>
          </w:p>
        </w:tc>
      </w:tr>
      <w:tr>
        <w:trPr/>
        <w:tc>
          <w:tcPr>
            <w:tcBorders/>
            <w:tcW w:w="6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C3</w:t>
            </w:r>
            <w:r/>
          </w:p>
        </w:tc>
        <w:tc>
          <w:tcPr>
            <w:tcBorders/>
            <w:tcW w:w="3260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Databases</w:t>
            </w:r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X</w:t>
            </w:r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X</w:t>
            </w:r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X</w:t>
            </w:r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X</w:t>
            </w:r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</w:tr>
      <w:tr>
        <w:trPr/>
        <w:tc>
          <w:tcPr>
            <w:tcBorders/>
            <w:tcW w:w="6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C4</w:t>
            </w:r>
            <w:r/>
          </w:p>
        </w:tc>
        <w:tc>
          <w:tcPr>
            <w:tcBorders/>
            <w:tcW w:w="3260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REDIS cache</w:t>
            </w:r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</w:tr>
      <w:tr>
        <w:trPr/>
        <w:tc>
          <w:tcPr>
            <w:tcBorders/>
            <w:tcW w:w="6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C5</w:t>
            </w:r>
            <w:r/>
          </w:p>
        </w:tc>
        <w:tc>
          <w:tcPr>
            <w:tcBorders/>
            <w:tcW w:w="3260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Authentication API</w:t>
            </w:r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X</w:t>
            </w:r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X</w:t>
            </w:r>
            <w:r/>
          </w:p>
        </w:tc>
      </w:tr>
      <w:tr>
        <w:trPr/>
        <w:tc>
          <w:tcPr>
            <w:tcBorders/>
            <w:tcW w:w="6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C6</w:t>
            </w:r>
            <w:r/>
          </w:p>
        </w:tc>
        <w:tc>
          <w:tcPr>
            <w:tcBorders/>
            <w:tcW w:w="3260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Payment API</w:t>
            </w:r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X</w:t>
            </w:r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X</w:t>
            </w:r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X</w:t>
            </w:r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</w:tr>
      <w:tr>
        <w:trPr/>
        <w:tc>
          <w:tcPr>
            <w:tcBorders/>
            <w:tcW w:w="618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C7</w:t>
            </w:r>
            <w:r/>
          </w:p>
        </w:tc>
        <w:tc>
          <w:tcPr>
            <w:tcBorders/>
            <w:tcW w:w="3260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CDN and Storage server</w:t>
            </w:r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X</w:t>
            </w:r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X</w:t>
            </w:r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X</w:t>
            </w:r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X</w:t>
            </w:r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</w:tr>
      <w:tr>
        <w:trPr/>
        <w:tc>
          <w:tcPr>
            <w:tcBorders/>
            <w:tcW w:w="618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C8</w:t>
            </w:r>
            <w:r/>
          </w:p>
        </w:tc>
        <w:tc>
          <w:tcPr>
            <w:tcBorders/>
            <w:tcW w:w="3260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Reverse proxy &amp; WAF</w:t>
            </w:r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X</w:t>
            </w:r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X</w:t>
            </w:r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</w:tr>
      <w:tr>
        <w:trPr/>
        <w:tc>
          <w:tcPr>
            <w:tcBorders/>
            <w:tcW w:w="618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F1</w:t>
            </w:r>
            <w:r/>
          </w:p>
        </w:tc>
        <w:tc>
          <w:tcPr>
            <w:tcBorders/>
            <w:tcW w:w="3260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Authentication flow</w:t>
            </w:r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X</w:t>
            </w:r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</w:tr>
      <w:tr>
        <w:trPr/>
        <w:tc>
          <w:tcPr>
            <w:tcBorders/>
            <w:tcW w:w="6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F2</w:t>
            </w:r>
            <w:r/>
          </w:p>
        </w:tc>
        <w:tc>
          <w:tcPr>
            <w:tcBorders/>
            <w:tcW w:w="3260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Payment flow</w:t>
            </w:r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X</w:t>
            </w:r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X</w:t>
            </w:r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</w:tr>
      <w:tr>
        <w:trPr/>
        <w:tc>
          <w:tcPr>
            <w:tcBorders/>
            <w:tcW w:w="6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F3</w:t>
            </w:r>
            <w:r/>
          </w:p>
        </w:tc>
        <w:tc>
          <w:tcPr>
            <w:tcBorders/>
            <w:tcW w:w="3260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Cart flow</w:t>
            </w:r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X</w:t>
            </w:r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X</w:t>
            </w:r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</w:tr>
      <w:tr>
        <w:trPr/>
        <w:tc>
          <w:tcPr>
            <w:tcBorders/>
            <w:tcW w:w="618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F4</w:t>
            </w:r>
            <w:r/>
          </w:p>
        </w:tc>
        <w:tc>
          <w:tcPr>
            <w:tcBorders/>
            <w:tcW w:w="3260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Orders flow</w:t>
            </w:r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X</w:t>
            </w:r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</w:tr>
      <w:tr>
        <w:trPr/>
        <w:tc>
          <w:tcPr>
            <w:tcBorders/>
            <w:tcW w:w="618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F5</w:t>
            </w:r>
            <w:r/>
          </w:p>
        </w:tc>
        <w:tc>
          <w:tcPr>
            <w:tcBorders/>
            <w:tcW w:w="3260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Catalog flow</w:t>
            </w:r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X</w:t>
            </w:r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</w:tr>
      <w:tr>
        <w:trPr/>
        <w:tc>
          <w:tcPr>
            <w:tcBorders/>
            <w:tcW w:w="618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F6</w:t>
            </w:r>
            <w:r/>
          </w:p>
        </w:tc>
        <w:tc>
          <w:tcPr>
            <w:tcBorders/>
            <w:tcW w:w="3260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Administrative flow</w:t>
            </w:r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X</w:t>
            </w:r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X</w:t>
            </w:r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X</w:t>
            </w:r>
            <w:r/>
          </w:p>
        </w:tc>
      </w:tr>
      <w:tr>
        <w:trPr/>
        <w:tc>
          <w:tcPr>
            <w:tcBorders/>
            <w:tcW w:w="618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F7</w:t>
            </w:r>
            <w:r/>
          </w:p>
        </w:tc>
        <w:tc>
          <w:tcPr>
            <w:tcBorders/>
            <w:tcW w:w="3260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Logs flow</w:t>
            </w:r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</w:tr>
      <w:tr>
        <w:trPr/>
        <w:tc>
          <w:tcPr>
            <w:tcBorders/>
            <w:tcW w:w="618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A1</w:t>
            </w:r>
            <w:r/>
          </w:p>
        </w:tc>
        <w:tc>
          <w:tcPr>
            <w:tcBorders/>
            <w:tcW w:w="3260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Customer</w:t>
            </w:r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X</w:t>
            </w:r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X</w:t>
            </w:r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</w:tr>
      <w:tr>
        <w:trPr/>
        <w:tc>
          <w:tcPr>
            <w:tcBorders/>
            <w:tcW w:w="6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A2</w:t>
            </w:r>
            <w:r/>
          </w:p>
        </w:tc>
        <w:tc>
          <w:tcPr>
            <w:tcBorders/>
            <w:tcW w:w="3260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Administrator</w:t>
            </w:r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X</w:t>
            </w:r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X</w:t>
            </w:r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X</w:t>
            </w:r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X</w:t>
            </w:r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X</w:t>
            </w:r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X</w:t>
            </w:r>
            <w:r/>
          </w:p>
        </w:tc>
      </w:tr>
      <w:tr>
        <w:trPr/>
        <w:tc>
          <w:tcPr>
            <w:tcBorders/>
            <w:tcW w:w="618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A3</w:t>
            </w:r>
            <w:r/>
          </w:p>
        </w:tc>
        <w:tc>
          <w:tcPr>
            <w:tcBorders/>
            <w:tcW w:w="3260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Payment third-party</w:t>
            </w:r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X</w:t>
            </w:r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X</w:t>
            </w:r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X</w:t>
            </w:r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</w:tr>
      <w:tr>
        <w:trPr/>
        <w:tc>
          <w:tcPr>
            <w:tcBorders/>
            <w:tcW w:w="618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A4</w:t>
            </w:r>
            <w:r/>
          </w:p>
        </w:tc>
        <w:tc>
          <w:tcPr>
            <w:tcBorders/>
            <w:tcW w:w="3260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Internal services (jobs, crons)</w:t>
            </w:r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X</w:t>
            </w:r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X</w:t>
            </w:r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X</w:t>
            </w:r>
            <w:r/>
          </w:p>
        </w:tc>
        <w:tc>
          <w:tcPr>
            <w:tcBorders/>
            <w:tcW w:w="969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X</w:t>
            </w:r>
            <w:r/>
          </w:p>
        </w:tc>
      </w:tr>
    </w:tbl>
    <w:p>
      <w:pPr>
        <w:pBdr/>
        <w:spacing/>
        <w:ind/>
        <w:rPr/>
      </w:pPr>
      <w:r/>
      <w:r/>
    </w:p>
    <w:sectPr>
      <w:headerReference w:type="default" r:id="rId9"/>
      <w:footerReference w:type="default" r:id="rId10"/>
      <w:footnotePr/>
      <w:endnotePr/>
      <w:type w:val="nextPage"/>
      <w:pgSz w:h="16838" w:orient="portrait" w:w="11906"/>
      <w:pgMar w:top="1440" w:right="1083" w:bottom="1440" w:left="1083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ldrich">
    <w:panose1 w:val="02000000000000000000"/>
  </w:font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0"/>
      <w:pBdr/>
      <w:spacing/>
      <w:ind/>
      <w:jc w:val="right"/>
      <w:rPr/>
    </w:pPr>
    <w:fldSimple w:instr="PAGE \* MERGEFORMAT">
      <w:r>
        <w:t xml:space="preserve">1</w:t>
      </w:r>
    </w:fldSimple>
    <w:r/>
    <w:r>
      <w:t xml:space="preserve"> / </w:t>
    </w:r>
    <w:fldSimple w:instr="NUMPAGES \* MERGEFORMAT">
      <w:r>
        <w:t xml:space="preserve">1</w:t>
      </w:r>
    </w:fldSimple>
    <w:r/>
    <w:r/>
  </w:p>
  <w:p>
    <w:pPr>
      <w:pStyle w:val="940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8"/>
      <w:pBdr/>
      <w:spacing/>
      <w:ind/>
      <w:rPr/>
    </w:pPr>
    <w:r>
      <w:t xml:space="preserve">Adam GABRIEL &amp; Gilberto RIBA ALVES &amp; Gauvain BOICH</w:t>
    </w:r>
    <w:r>
      <w:rPr>
        <w:rFonts w:hint="default" w:ascii="Arial" w:hAnsi="Arial" w:eastAsia="Arial" w:cs="Arial"/>
      </w:rPr>
      <w:t xml:space="preserve">É – Parts 1&amp;2 - 16/02/2026</w: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–"/>
      <w:numFmt w:val="bullet"/>
      <w:pPr>
        <w:pBdr/>
        <w:spacing/>
        <w:ind w:hanging="360" w:left="709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1">
    <w:lvl w:ilvl="0">
      <w:isLgl w:val="false"/>
      <w:lvlJc w:val="left"/>
      <w:lvlText w:val="–"/>
      <w:numFmt w:val="bullet"/>
      <w:pPr>
        <w:pBdr/>
        <w:spacing/>
        <w:ind w:hanging="360" w:left="709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2">
    <w:lvl w:ilvl="0">
      <w:isLgl w:val="false"/>
      <w:lvlJc w:val="left"/>
      <w:lvlText w:val="–"/>
      <w:numFmt w:val="bullet"/>
      <w:pPr>
        <w:pBdr/>
        <w:spacing/>
        <w:ind w:hanging="360" w:left="709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3">
    <w:lvl w:ilvl="0">
      <w:isLgl w:val="false"/>
      <w:lvlJc w:val="left"/>
      <w:lvlText w:val="–"/>
      <w:numFmt w:val="bullet"/>
      <w:pPr>
        <w:pBdr/>
        <w:spacing/>
        <w:ind w:hanging="360" w:left="709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4">
    <w:lvl w:ilvl="0">
      <w:isLgl w:val="false"/>
      <w:lvlJc w:val="left"/>
      <w:lvlText w:val="–"/>
      <w:numFmt w:val="bullet"/>
      <w:pPr>
        <w:pBdr/>
        <w:spacing/>
        <w:ind w:hanging="360" w:left="709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5">
    <w:lvl w:ilvl="0">
      <w:isLgl w:val="false"/>
      <w:lvlJc w:val="left"/>
      <w:lvlText w:val="–"/>
      <w:numFmt w:val="bullet"/>
      <w:pPr>
        <w:pBdr/>
        <w:spacing/>
        <w:ind w:hanging="360" w:left="709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6">
    <w:lvl w:ilvl="0">
      <w:isLgl w:val="false"/>
      <w:lvlJc w:val="left"/>
      <w:lvlText w:val="–"/>
      <w:numFmt w:val="bullet"/>
      <w:pPr>
        <w:pBdr/>
        <w:spacing/>
        <w:ind w:hanging="360" w:left="709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7">
    <w:lvl w:ilvl="0">
      <w:isLgl w:val="false"/>
      <w:lvlJc w:val="left"/>
      <w:lvlText w:val="–"/>
      <w:numFmt w:val="bullet"/>
      <w:pPr>
        <w:pBdr/>
        <w:spacing/>
        <w:ind w:hanging="360" w:left="709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8">
    <w:lvl w:ilvl="0">
      <w:isLgl w:val="false"/>
      <w:lvlJc w:val="left"/>
      <w:lvlText w:val="–"/>
      <w:numFmt w:val="bullet"/>
      <w:pPr>
        <w:pBdr/>
        <w:spacing/>
        <w:ind w:hanging="360" w:left="709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9">
    <w:lvl w:ilvl="0">
      <w:isLgl w:val="false"/>
      <w:lvlJc w:val="left"/>
      <w:lvlText w:val="–"/>
      <w:numFmt w:val="bullet"/>
      <w:pPr>
        <w:pBdr/>
        <w:spacing/>
        <w:ind w:hanging="360" w:left="709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10">
    <w:lvl w:ilvl="0">
      <w:isLgl w:val="false"/>
      <w:lvlJc w:val="left"/>
      <w:lvlText w:val="–"/>
      <w:numFmt w:val="bullet"/>
      <w:pPr>
        <w:pBdr/>
        <w:spacing/>
        <w:ind w:hanging="360" w:left="709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11">
    <w:lvl w:ilvl="0">
      <w:isLgl w:val="false"/>
      <w:lvlJc w:val="left"/>
      <w:lvlText w:val="–"/>
      <w:numFmt w:val="bullet"/>
      <w:pPr>
        <w:pBdr/>
        <w:spacing/>
        <w:ind w:hanging="360" w:left="360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08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180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52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24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396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468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40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12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12">
    <w:lvl w:ilvl="0">
      <w:isLgl w:val="false"/>
      <w:lvlJc w:val="left"/>
      <w:lvlText w:val="–"/>
      <w:numFmt w:val="bullet"/>
      <w:pPr>
        <w:pBdr/>
        <w:spacing/>
        <w:ind w:hanging="360" w:left="360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08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180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52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24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396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468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40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12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13">
    <w:lvl w:ilvl="0">
      <w:isLgl w:val="false"/>
      <w:lvlJc w:val="left"/>
      <w:lvlText w:val="–"/>
      <w:numFmt w:val="bullet"/>
      <w:pPr>
        <w:pBdr/>
        <w:spacing/>
        <w:ind w:hanging="360" w:left="360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08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180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52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24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396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468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40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12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14">
    <w:lvl w:ilvl="0">
      <w:isLgl w:val="false"/>
      <w:lvlJc w:val="left"/>
      <w:lvlText w:val="–"/>
      <w:numFmt w:val="bullet"/>
      <w:pPr>
        <w:pBdr/>
        <w:spacing/>
        <w:ind w:hanging="360" w:left="360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08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180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52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24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396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468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40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12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15">
    <w:lvl w:ilvl="0">
      <w:isLgl w:val="false"/>
      <w:lvlJc w:val="left"/>
      <w:lvlText w:val="–"/>
      <w:numFmt w:val="bullet"/>
      <w:pPr>
        <w:pBdr/>
        <w:spacing/>
        <w:ind w:hanging="360" w:left="709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16">
    <w:lvl w:ilvl="0">
      <w:isLgl w:val="false"/>
      <w:lvlJc w:val="left"/>
      <w:lvlText w:val="–"/>
      <w:numFmt w:val="bullet"/>
      <w:pPr>
        <w:pBdr/>
        <w:spacing/>
        <w:ind w:hanging="360" w:left="709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17">
    <w:lvl w:ilvl="0">
      <w:isLgl w:val="false"/>
      <w:lvlJc w:val="left"/>
      <w:lvlText w:val="–"/>
      <w:numFmt w:val="bullet"/>
      <w:pPr>
        <w:pBdr/>
        <w:spacing/>
        <w:ind w:hanging="360" w:left="709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18">
    <w:lvl w:ilvl="0">
      <w:isLgl w:val="false"/>
      <w:lvlJc w:val="left"/>
      <w:lvlText w:val="–"/>
      <w:numFmt w:val="bullet"/>
      <w:pPr>
        <w:pBdr/>
        <w:spacing/>
        <w:ind w:hanging="360" w:left="709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19">
    <w:lvl w:ilvl="0">
      <w:isLgl w:val="false"/>
      <w:lvlJc w:val="left"/>
      <w:lvlText w:val="–"/>
      <w:numFmt w:val="bullet"/>
      <w:pPr>
        <w:pBdr/>
        <w:spacing/>
        <w:ind w:hanging="360" w:left="709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20">
    <w:lvl w:ilvl="0">
      <w:isLgl w:val="false"/>
      <w:lvlJc w:val="left"/>
      <w:lvlText w:val="–"/>
      <w:numFmt w:val="bullet"/>
      <w:pPr>
        <w:pBdr/>
        <w:spacing/>
        <w:ind w:hanging="360" w:left="709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21">
    <w:lvl w:ilvl="0">
      <w:isLgl w:val="false"/>
      <w:lvlJc w:val="left"/>
      <w:lvlText w:val="–"/>
      <w:numFmt w:val="bullet"/>
      <w:pPr>
        <w:pBdr/>
        <w:spacing/>
        <w:ind w:hanging="360" w:left="709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22">
    <w:lvl w:ilvl="0">
      <w:isLgl w:val="false"/>
      <w:lvlJc w:val="left"/>
      <w:lvlText w:val="–"/>
      <w:numFmt w:val="bullet"/>
      <w:pPr>
        <w:pBdr/>
        <w:spacing/>
        <w:ind w:hanging="360" w:left="709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78">
    <w:name w:val="Table Grid"/>
    <w:basedOn w:val="96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Table Grid Light"/>
    <w:basedOn w:val="96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Plain Table 1"/>
    <w:basedOn w:val="96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Plain Table 2"/>
    <w:basedOn w:val="96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Plain Table 3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Plain Table 4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Plain Table 5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1 Light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1 Light - Accent 1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1 Light - Accent 2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1 Light - Accent 3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1 Light - Accent 4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1 Light - Accent 5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1 Light - Accent 6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2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2 - Accent 1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2 - Accent 2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2 - Accent 3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2 - Accent 4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2 - Accent 5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2 - Accent 6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3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3 - Accent 1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3 - Accent 2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3 - Accent 3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3 - Accent 4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3 - Accent 5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3 - Accent 6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Grid Table 4"/>
    <w:basedOn w:val="96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Grid Table 4 - Accent 1"/>
    <w:basedOn w:val="96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4 - Accent 2"/>
    <w:basedOn w:val="96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Grid Table 4 - Accent 3"/>
    <w:basedOn w:val="96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4 - Accent 4"/>
    <w:basedOn w:val="96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Grid Table 4 - Accent 5"/>
    <w:basedOn w:val="96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Grid Table 4 - Accent 6"/>
    <w:basedOn w:val="96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Grid Table 5 Dark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Grid Table 5 Dark- Accent 1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Grid Table 5 Dark - Accent 2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Grid Table 5 Dark - Accent 3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Grid Table 5 Dark- Accent 4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Grid Table 5 Dark - Accent 5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Grid Table 5 Dark - Accent 6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Grid Table 6 Colorful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Grid Table 6 Colorful - Accent 1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Grid Table 6 Colorful - Accent 2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Grid Table 6 Colorful - Accent 3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Grid Table 6 Colorful - Accent 4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Grid Table 6 Colorful - Accent 5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Grid Table 6 Colorful - Accent 6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Grid Table 7 Colorful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Grid Table 7 Colorful - Accent 1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Grid Table 7 Colorful - Accent 2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Grid Table 7 Colorful - Accent 3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Grid Table 7 Colorful - Accent 4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Grid Table 7 Colorful - Accent 5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Grid Table 7 Colorful - Accent 6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1 Light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1 Light - Accent 1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1 Light - Accent 2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1 Light - Accent 3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1 Light - Accent 4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1 Light - Accent 5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1 Light - Accent 6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2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2 - Accent 1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2 - Accent 2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2 - Accent 3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2 - Accent 4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2 - Accent 5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2 - Accent 6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3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3 - Accent 1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3 - Accent 2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3 - Accent 3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3 - Accent 4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3 - Accent 5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3 - Accent 6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4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st Table 4 - Accent 1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st Table 4 - Accent 2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st Table 4 - Accent 3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4 - Accent 4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st Table 4 - Accent 5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st Table 4 - Accent 6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st Table 5 Dark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st Table 5 Dark - Accent 1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st Table 5 Dark - Accent 2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st Table 5 Dark - Accent 3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st Table 5 Dark - Accent 4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st Table 5 Dark - Accent 5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st Table 5 Dark - Accent 6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st Table 6 Colorful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List Table 6 Colorful - Accent 1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List Table 6 Colorful - Accent 2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List Table 6 Colorful - Accent 3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List Table 6 Colorful - Accent 4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List Table 6 Colorful - Accent 5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List Table 6 Colorful - Accent 6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List Table 7 Colorful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List Table 7 Colorful - Accent 1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List Table 7 Colorful - Accent 2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List Table 7 Colorful - Accent 3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List Table 7 Colorful - Accent 4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List Table 7 Colorful - Accent 5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List Table 7 Colorful - Accent 6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Lined - Accent"/>
    <w:basedOn w:val="9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Lined - Accent 1"/>
    <w:basedOn w:val="9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Lined - Accent 2"/>
    <w:basedOn w:val="9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Lined - Accent 3"/>
    <w:basedOn w:val="9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Lined - Accent 4"/>
    <w:basedOn w:val="9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Lined - Accent 5"/>
    <w:basedOn w:val="9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Lined - Accent 6"/>
    <w:basedOn w:val="9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Bordered &amp; Lined - Accent"/>
    <w:basedOn w:val="9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Bordered &amp; Lined - Accent 1"/>
    <w:basedOn w:val="9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Bordered &amp; Lined - Accent 2"/>
    <w:basedOn w:val="9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Bordered &amp; Lined - Accent 3"/>
    <w:basedOn w:val="9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Bordered &amp; Lined - Accent 4"/>
    <w:basedOn w:val="9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Bordered &amp; Lined - Accent 5"/>
    <w:basedOn w:val="9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Bordered &amp; Lined - Accent 6"/>
    <w:basedOn w:val="9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Bordered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Bordered - Accent 1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Bordered - Accent 2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Bordered - Accent 3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Bordered - Accent 4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Bordered - Accent 5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Bordered - Accent 6"/>
    <w:basedOn w:val="9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04">
    <w:name w:val="Heading 1"/>
    <w:basedOn w:val="963"/>
    <w:next w:val="963"/>
    <w:link w:val="914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905">
    <w:name w:val="Heading 2"/>
    <w:basedOn w:val="963"/>
    <w:next w:val="963"/>
    <w:link w:val="915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906">
    <w:name w:val="Heading 3"/>
    <w:basedOn w:val="963"/>
    <w:next w:val="963"/>
    <w:link w:val="916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907">
    <w:name w:val="Heading 4"/>
    <w:basedOn w:val="963"/>
    <w:next w:val="963"/>
    <w:link w:val="917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908">
    <w:name w:val="Heading 5"/>
    <w:basedOn w:val="963"/>
    <w:next w:val="963"/>
    <w:link w:val="918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909">
    <w:name w:val="Heading 6"/>
    <w:basedOn w:val="963"/>
    <w:next w:val="963"/>
    <w:link w:val="919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910">
    <w:name w:val="Heading 7"/>
    <w:basedOn w:val="963"/>
    <w:next w:val="963"/>
    <w:link w:val="920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911">
    <w:name w:val="Heading 8"/>
    <w:basedOn w:val="963"/>
    <w:next w:val="963"/>
    <w:link w:val="921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912">
    <w:name w:val="Heading 9"/>
    <w:basedOn w:val="963"/>
    <w:next w:val="963"/>
    <w:link w:val="922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913" w:default="1">
    <w:name w:val="Default Paragraph Font"/>
    <w:uiPriority w:val="1"/>
    <w:semiHidden/>
    <w:unhideWhenUsed/>
    <w:pPr>
      <w:pBdr/>
      <w:spacing/>
      <w:ind/>
    </w:pPr>
  </w:style>
  <w:style w:type="character" w:styleId="914">
    <w:name w:val="Heading 1 Char"/>
    <w:basedOn w:val="913"/>
    <w:link w:val="90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915">
    <w:name w:val="Heading 2 Char"/>
    <w:basedOn w:val="913"/>
    <w:link w:val="90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916">
    <w:name w:val="Heading 3 Char"/>
    <w:basedOn w:val="913"/>
    <w:link w:val="90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917">
    <w:name w:val="Heading 4 Char"/>
    <w:basedOn w:val="913"/>
    <w:link w:val="907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918">
    <w:name w:val="Heading 5 Char"/>
    <w:basedOn w:val="913"/>
    <w:link w:val="90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919">
    <w:name w:val="Heading 6 Char"/>
    <w:basedOn w:val="913"/>
    <w:link w:val="909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920">
    <w:name w:val="Heading 7 Char"/>
    <w:basedOn w:val="913"/>
    <w:link w:val="910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921">
    <w:name w:val="Heading 8 Char"/>
    <w:basedOn w:val="913"/>
    <w:link w:val="91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922">
    <w:name w:val="Heading 9 Char"/>
    <w:basedOn w:val="913"/>
    <w:link w:val="91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923">
    <w:name w:val="Title"/>
    <w:basedOn w:val="963"/>
    <w:next w:val="963"/>
    <w:link w:val="924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924">
    <w:name w:val="Title Char"/>
    <w:basedOn w:val="913"/>
    <w:link w:val="923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925">
    <w:name w:val="Subtitle"/>
    <w:basedOn w:val="963"/>
    <w:next w:val="963"/>
    <w:link w:val="926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926">
    <w:name w:val="Subtitle Char"/>
    <w:basedOn w:val="913"/>
    <w:link w:val="925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927">
    <w:name w:val="Quote"/>
    <w:basedOn w:val="963"/>
    <w:next w:val="963"/>
    <w:link w:val="928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928">
    <w:name w:val="Quote Char"/>
    <w:basedOn w:val="913"/>
    <w:link w:val="927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929">
    <w:name w:val="Intense Emphasis"/>
    <w:basedOn w:val="913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930">
    <w:name w:val="Intense Quote"/>
    <w:basedOn w:val="963"/>
    <w:next w:val="963"/>
    <w:link w:val="93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931">
    <w:name w:val="Intense Quote Char"/>
    <w:basedOn w:val="913"/>
    <w:link w:val="93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932">
    <w:name w:val="Intense Reference"/>
    <w:basedOn w:val="913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933">
    <w:name w:val="Subtle Emphasis"/>
    <w:basedOn w:val="913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34">
    <w:name w:val="Emphasis"/>
    <w:basedOn w:val="913"/>
    <w:uiPriority w:val="20"/>
    <w:qFormat/>
    <w:pPr>
      <w:pBdr/>
      <w:spacing/>
      <w:ind/>
    </w:pPr>
    <w:rPr>
      <w:i/>
      <w:iCs/>
    </w:rPr>
  </w:style>
  <w:style w:type="character" w:styleId="935">
    <w:name w:val="Strong"/>
    <w:basedOn w:val="913"/>
    <w:uiPriority w:val="22"/>
    <w:qFormat/>
    <w:pPr>
      <w:pBdr/>
      <w:spacing/>
      <w:ind/>
    </w:pPr>
    <w:rPr>
      <w:b/>
      <w:bCs/>
    </w:rPr>
  </w:style>
  <w:style w:type="character" w:styleId="936">
    <w:name w:val="Subtle Reference"/>
    <w:basedOn w:val="913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37">
    <w:name w:val="Book Title"/>
    <w:basedOn w:val="913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38">
    <w:name w:val="Header"/>
    <w:basedOn w:val="963"/>
    <w:link w:val="939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39">
    <w:name w:val="Header Char"/>
    <w:basedOn w:val="913"/>
    <w:link w:val="938"/>
    <w:uiPriority w:val="99"/>
    <w:pPr>
      <w:pBdr/>
      <w:spacing/>
      <w:ind/>
    </w:pPr>
  </w:style>
  <w:style w:type="paragraph" w:styleId="940">
    <w:name w:val="Footer"/>
    <w:basedOn w:val="963"/>
    <w:link w:val="941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41">
    <w:name w:val="Footer Char"/>
    <w:basedOn w:val="913"/>
    <w:link w:val="940"/>
    <w:uiPriority w:val="99"/>
    <w:pPr>
      <w:pBdr/>
      <w:spacing/>
      <w:ind/>
    </w:pPr>
  </w:style>
  <w:style w:type="paragraph" w:styleId="942">
    <w:name w:val="Caption"/>
    <w:basedOn w:val="963"/>
    <w:next w:val="963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43">
    <w:name w:val="footnote text"/>
    <w:basedOn w:val="963"/>
    <w:link w:val="94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44">
    <w:name w:val="Footnote Text Char"/>
    <w:basedOn w:val="913"/>
    <w:link w:val="943"/>
    <w:uiPriority w:val="99"/>
    <w:semiHidden/>
    <w:pPr>
      <w:pBdr/>
      <w:spacing/>
      <w:ind/>
    </w:pPr>
    <w:rPr>
      <w:sz w:val="20"/>
      <w:szCs w:val="20"/>
    </w:rPr>
  </w:style>
  <w:style w:type="character" w:styleId="945">
    <w:name w:val="footnote reference"/>
    <w:basedOn w:val="913"/>
    <w:uiPriority w:val="99"/>
    <w:semiHidden/>
    <w:unhideWhenUsed/>
    <w:pPr>
      <w:pBdr/>
      <w:spacing/>
      <w:ind/>
    </w:pPr>
    <w:rPr>
      <w:vertAlign w:val="superscript"/>
    </w:rPr>
  </w:style>
  <w:style w:type="paragraph" w:styleId="946">
    <w:name w:val="endnote text"/>
    <w:basedOn w:val="963"/>
    <w:link w:val="94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47">
    <w:name w:val="Endnote Text Char"/>
    <w:basedOn w:val="913"/>
    <w:link w:val="946"/>
    <w:uiPriority w:val="99"/>
    <w:semiHidden/>
    <w:pPr>
      <w:pBdr/>
      <w:spacing/>
      <w:ind/>
    </w:pPr>
    <w:rPr>
      <w:sz w:val="20"/>
      <w:szCs w:val="20"/>
    </w:rPr>
  </w:style>
  <w:style w:type="character" w:styleId="948">
    <w:name w:val="endnote reference"/>
    <w:basedOn w:val="913"/>
    <w:uiPriority w:val="99"/>
    <w:semiHidden/>
    <w:unhideWhenUsed/>
    <w:pPr>
      <w:pBdr/>
      <w:spacing/>
      <w:ind/>
    </w:pPr>
    <w:rPr>
      <w:vertAlign w:val="superscript"/>
    </w:rPr>
  </w:style>
  <w:style w:type="character" w:styleId="949">
    <w:name w:val="Hyperlink"/>
    <w:basedOn w:val="913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50">
    <w:name w:val="FollowedHyperlink"/>
    <w:basedOn w:val="91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51">
    <w:name w:val="toc 1"/>
    <w:basedOn w:val="963"/>
    <w:next w:val="963"/>
    <w:uiPriority w:val="39"/>
    <w:unhideWhenUsed/>
    <w:pPr>
      <w:pBdr/>
      <w:spacing w:after="100"/>
      <w:ind/>
    </w:pPr>
  </w:style>
  <w:style w:type="paragraph" w:styleId="952">
    <w:name w:val="toc 2"/>
    <w:basedOn w:val="963"/>
    <w:next w:val="963"/>
    <w:uiPriority w:val="39"/>
    <w:unhideWhenUsed/>
    <w:pPr>
      <w:pBdr/>
      <w:spacing w:after="100"/>
      <w:ind w:left="220"/>
    </w:pPr>
  </w:style>
  <w:style w:type="paragraph" w:styleId="953">
    <w:name w:val="toc 3"/>
    <w:basedOn w:val="963"/>
    <w:next w:val="963"/>
    <w:uiPriority w:val="39"/>
    <w:unhideWhenUsed/>
    <w:pPr>
      <w:pBdr/>
      <w:spacing w:after="100"/>
      <w:ind w:left="440"/>
    </w:pPr>
  </w:style>
  <w:style w:type="paragraph" w:styleId="954">
    <w:name w:val="toc 4"/>
    <w:basedOn w:val="963"/>
    <w:next w:val="963"/>
    <w:uiPriority w:val="39"/>
    <w:unhideWhenUsed/>
    <w:pPr>
      <w:pBdr/>
      <w:spacing w:after="100"/>
      <w:ind w:left="660"/>
    </w:pPr>
  </w:style>
  <w:style w:type="paragraph" w:styleId="955">
    <w:name w:val="toc 5"/>
    <w:basedOn w:val="963"/>
    <w:next w:val="963"/>
    <w:uiPriority w:val="39"/>
    <w:unhideWhenUsed/>
    <w:pPr>
      <w:pBdr/>
      <w:spacing w:after="100"/>
      <w:ind w:left="880"/>
    </w:pPr>
  </w:style>
  <w:style w:type="paragraph" w:styleId="956">
    <w:name w:val="toc 6"/>
    <w:basedOn w:val="963"/>
    <w:next w:val="963"/>
    <w:uiPriority w:val="39"/>
    <w:unhideWhenUsed/>
    <w:pPr>
      <w:pBdr/>
      <w:spacing w:after="100"/>
      <w:ind w:left="1100"/>
    </w:pPr>
  </w:style>
  <w:style w:type="paragraph" w:styleId="957">
    <w:name w:val="toc 7"/>
    <w:basedOn w:val="963"/>
    <w:next w:val="963"/>
    <w:uiPriority w:val="39"/>
    <w:unhideWhenUsed/>
    <w:pPr>
      <w:pBdr/>
      <w:spacing w:after="100"/>
      <w:ind w:left="1320"/>
    </w:pPr>
  </w:style>
  <w:style w:type="paragraph" w:styleId="958">
    <w:name w:val="toc 8"/>
    <w:basedOn w:val="963"/>
    <w:next w:val="963"/>
    <w:uiPriority w:val="39"/>
    <w:unhideWhenUsed/>
    <w:pPr>
      <w:pBdr/>
      <w:spacing w:after="100"/>
      <w:ind w:left="1540"/>
    </w:pPr>
  </w:style>
  <w:style w:type="paragraph" w:styleId="959">
    <w:name w:val="toc 9"/>
    <w:basedOn w:val="963"/>
    <w:next w:val="963"/>
    <w:uiPriority w:val="39"/>
    <w:unhideWhenUsed/>
    <w:pPr>
      <w:pBdr/>
      <w:spacing w:after="100"/>
      <w:ind w:left="1760"/>
    </w:pPr>
  </w:style>
  <w:style w:type="character" w:styleId="960">
    <w:name w:val="Placeholder Text"/>
    <w:basedOn w:val="913"/>
    <w:uiPriority w:val="99"/>
    <w:semiHidden/>
    <w:pPr>
      <w:pBdr/>
      <w:spacing/>
      <w:ind/>
    </w:pPr>
    <w:rPr>
      <w:color w:val="666666"/>
    </w:rPr>
  </w:style>
  <w:style w:type="paragraph" w:styleId="961">
    <w:name w:val="TOC Heading"/>
    <w:uiPriority w:val="39"/>
    <w:unhideWhenUsed/>
    <w:pPr>
      <w:pBdr/>
      <w:spacing/>
      <w:ind/>
    </w:pPr>
  </w:style>
  <w:style w:type="paragraph" w:styleId="962">
    <w:name w:val="table of figures"/>
    <w:basedOn w:val="963"/>
    <w:next w:val="963"/>
    <w:uiPriority w:val="99"/>
    <w:unhideWhenUsed/>
    <w:pPr>
      <w:pBdr/>
      <w:spacing w:after="0" w:afterAutospacing="0"/>
      <w:ind/>
    </w:pPr>
  </w:style>
  <w:style w:type="paragraph" w:styleId="963" w:default="1">
    <w:name w:val="Normal"/>
    <w:qFormat/>
    <w:pPr>
      <w:pBdr/>
      <w:spacing/>
      <w:ind/>
    </w:pPr>
  </w:style>
  <w:style w:type="table" w:styleId="964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65" w:default="1">
    <w:name w:val="No List"/>
    <w:uiPriority w:val="99"/>
    <w:semiHidden/>
    <w:unhideWhenUsed/>
    <w:pPr>
      <w:pBdr/>
      <w:spacing/>
      <w:ind/>
    </w:pPr>
  </w:style>
  <w:style w:type="paragraph" w:styleId="966">
    <w:name w:val="No Spacing"/>
    <w:basedOn w:val="963"/>
    <w:uiPriority w:val="1"/>
    <w:qFormat/>
    <w:pPr>
      <w:pBdr/>
      <w:spacing w:after="0" w:line="240" w:lineRule="auto"/>
      <w:ind/>
    </w:pPr>
  </w:style>
  <w:style w:type="paragraph" w:styleId="967">
    <w:name w:val="List Paragraph"/>
    <w:basedOn w:val="963"/>
    <w:uiPriority w:val="34"/>
    <w:qFormat/>
    <w:pPr>
      <w:pBdr/>
      <w:spacing/>
      <w:ind w:left="720"/>
      <w:contextualSpacing w:val="true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image" Target="media/image1.jpg"/><Relationship Id="rId12" Type="http://schemas.openxmlformats.org/officeDocument/2006/relationships/image" Target="media/image2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ONLYOFFICE/9.0.3.29</Application>
  <DocSecurity>0</DocSecurity>
  <ScaleCrop>0</ScaleCrop>
  <HeadingPairs>
    <vt:vector size="0" baseType="variant"/>
  </HeadingPairs>
  <TitlesOfParts>
    <vt:vector size="0" baseType="lpstr"/>
  </TitlesOfParts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2</cp:revision>
  <dcterms:modified xsi:type="dcterms:W3CDTF">2026-02-16T16:06:08Z</dcterms:modified>
</cp:coreProperties>
</file>